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Arial"/>
          <w:bCs/>
          <w:color w:val="000000"/>
          <w:sz w:val="32"/>
          <w:szCs w:val="32"/>
        </w:rPr>
      </w:pPr>
      <w:r>
        <w:rPr>
          <w:rFonts w:hint="eastAsia" w:ascii="黑体" w:hAnsi="宋体" w:eastAsia="黑体" w:cs="Arial"/>
          <w:bCs/>
          <w:color w:val="000000"/>
          <w:sz w:val="32"/>
          <w:szCs w:val="32"/>
        </w:rPr>
        <w:t>附件</w:t>
      </w:r>
      <w:r>
        <w:rPr>
          <w:rFonts w:hint="eastAsia" w:ascii="黑体" w:hAnsi="宋体" w:eastAsia="黑体" w:cs="Arial"/>
          <w:bCs/>
          <w:color w:val="000000"/>
          <w:sz w:val="32"/>
          <w:szCs w:val="32"/>
          <w:lang w:val="en-US" w:eastAsia="zh-CN"/>
        </w:rPr>
        <w:t>9</w:t>
      </w:r>
      <w:r>
        <w:rPr>
          <w:rFonts w:hint="eastAsia" w:ascii="黑体" w:hAnsi="宋体" w:eastAsia="黑体" w:cs="Arial"/>
          <w:bCs/>
          <w:color w:val="000000"/>
          <w:sz w:val="32"/>
          <w:szCs w:val="32"/>
        </w:rPr>
        <w:t>：</w:t>
      </w:r>
    </w:p>
    <w:p>
      <w:pPr>
        <w:rPr>
          <w:rFonts w:hint="eastAsia" w:ascii="黑体" w:hAnsi="宋体" w:eastAsia="黑体" w:cs="Arial"/>
          <w:bCs/>
          <w:color w:val="000000"/>
          <w:sz w:val="32"/>
          <w:szCs w:val="32"/>
        </w:rPr>
      </w:pPr>
    </w:p>
    <w:p>
      <w:pPr>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rPr>
        <w:t>项目支出</w:t>
      </w:r>
      <w:r>
        <w:rPr>
          <w:rFonts w:hint="eastAsia" w:ascii="方正小标宋简体" w:hAnsi="宋体" w:eastAsia="方正小标宋简体" w:cs="Arial"/>
          <w:bCs/>
          <w:color w:val="000000"/>
          <w:sz w:val="44"/>
          <w:szCs w:val="44"/>
          <w:lang w:eastAsia="zh-CN"/>
        </w:rPr>
        <w:t>部门</w:t>
      </w:r>
      <w:r>
        <w:rPr>
          <w:rFonts w:hint="eastAsia" w:ascii="方正小标宋简体" w:hAnsi="宋体" w:eastAsia="方正小标宋简体" w:cs="Arial"/>
          <w:bCs/>
          <w:color w:val="000000"/>
          <w:sz w:val="44"/>
          <w:szCs w:val="44"/>
        </w:rPr>
        <w:t>评价报告</w:t>
      </w:r>
    </w:p>
    <w:p>
      <w:pPr>
        <w:jc w:val="center"/>
        <w:rPr>
          <w:rFonts w:hint="eastAsia" w:ascii="黑体" w:hAnsi="宋体" w:eastAsia="黑体" w:cs="Arial"/>
          <w:bCs/>
          <w:color w:val="000000"/>
          <w:sz w:val="32"/>
          <w:szCs w:val="32"/>
        </w:rPr>
      </w:pPr>
    </w:p>
    <w:p>
      <w:pPr>
        <w:spacing w:line="600" w:lineRule="exact"/>
        <w:ind w:firstLine="800" w:firstLineChars="250"/>
        <w:jc w:val="left"/>
        <w:rPr>
          <w:rFonts w:hint="eastAsia" w:ascii="黑体" w:hAnsi="黑体" w:eastAsia="黑体" w:cs="黑体"/>
          <w:bCs/>
          <w:color w:val="000000"/>
          <w:sz w:val="32"/>
          <w:szCs w:val="32"/>
          <w:u w:val="single"/>
        </w:rPr>
      </w:pPr>
      <w:r>
        <w:rPr>
          <w:rFonts w:hint="eastAsia" w:ascii="黑体" w:hAnsi="宋体" w:eastAsia="黑体" w:cs="Arial"/>
          <w:bCs/>
          <w:color w:val="000000"/>
          <w:sz w:val="32"/>
          <w:szCs w:val="32"/>
          <w:lang w:eastAsia="zh-CN"/>
        </w:rPr>
        <w:t>评价类型</w:t>
      </w:r>
      <w:r>
        <w:rPr>
          <w:rFonts w:hint="eastAsia" w:ascii="黑体" w:hAnsi="宋体" w:eastAsia="黑体" w:cs="Arial"/>
          <w:bCs/>
          <w:color w:val="000000"/>
          <w:sz w:val="32"/>
          <w:szCs w:val="32"/>
        </w:rPr>
        <w:t>：</w:t>
      </w:r>
      <w:r>
        <w:rPr>
          <w:rFonts w:hint="eastAsia" w:ascii="黑体" w:hAnsi="黑体" w:eastAsia="黑体" w:cs="黑体"/>
          <w:bCs/>
          <w:color w:val="000000"/>
          <w:sz w:val="32"/>
          <w:szCs w:val="32"/>
          <w:u w:val="single"/>
        </w:rPr>
        <w:sym w:font="Wingdings 2" w:char="0052"/>
      </w:r>
      <w:r>
        <w:rPr>
          <w:rFonts w:hint="eastAsia" w:ascii="黑体" w:hAnsi="黑体" w:eastAsia="黑体" w:cs="黑体"/>
          <w:bCs/>
          <w:color w:val="000000"/>
          <w:sz w:val="32"/>
          <w:szCs w:val="32"/>
          <w:u w:val="single"/>
          <w:lang w:eastAsia="zh-CN"/>
        </w:rPr>
        <w:t>实施过程评价</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rPr>
        <w:sym w:font="Wingdings 2" w:char="0052"/>
      </w:r>
      <w:r>
        <w:rPr>
          <w:rFonts w:hint="eastAsia" w:ascii="黑体" w:hAnsi="黑体" w:eastAsia="黑体" w:cs="黑体"/>
          <w:bCs/>
          <w:color w:val="000000"/>
          <w:sz w:val="32"/>
          <w:szCs w:val="32"/>
          <w:u w:val="single"/>
          <w:lang w:eastAsia="zh-CN"/>
        </w:rPr>
        <w:t>完成结果评价</w:t>
      </w:r>
    </w:p>
    <w:p>
      <w:pPr>
        <w:spacing w:line="600" w:lineRule="exact"/>
        <w:jc w:val="left"/>
        <w:rPr>
          <w:rFonts w:hint="eastAsia" w:ascii="黑体" w:hAnsi="宋体" w:eastAsia="黑体" w:cs="Arial"/>
          <w:bCs/>
          <w:color w:val="000000"/>
          <w:sz w:val="32"/>
          <w:szCs w:val="32"/>
        </w:rPr>
      </w:pPr>
    </w:p>
    <w:p>
      <w:pPr>
        <w:spacing w:line="600" w:lineRule="exact"/>
        <w:ind w:firstLine="800" w:firstLineChars="250"/>
        <w:jc w:val="left"/>
        <w:rPr>
          <w:rFonts w:hint="eastAsia" w:ascii="黑体" w:hAnsi="宋体" w:eastAsia="黑体" w:cs="Arial"/>
          <w:bCs/>
          <w:color w:val="000000"/>
          <w:sz w:val="32"/>
          <w:szCs w:val="32"/>
        </w:rPr>
      </w:pPr>
      <w:r>
        <w:rPr>
          <w:rFonts w:hint="eastAsia" w:ascii="黑体" w:hAnsi="宋体" w:eastAsia="黑体" w:cs="Arial"/>
          <w:bCs/>
          <w:color w:val="000000"/>
          <w:sz w:val="32"/>
          <w:szCs w:val="32"/>
        </w:rPr>
        <w:t>项目</w:t>
      </w:r>
      <w:r>
        <w:rPr>
          <w:rFonts w:hint="eastAsia" w:ascii="黑体" w:hAnsi="宋体" w:eastAsia="黑体" w:cs="Arial"/>
          <w:bCs/>
          <w:color w:val="000000"/>
          <w:sz w:val="32"/>
          <w:szCs w:val="32"/>
          <w:lang w:eastAsia="zh-CN"/>
        </w:rPr>
        <w:t>名称</w:t>
      </w:r>
      <w:r>
        <w:rPr>
          <w:rFonts w:hint="eastAsia" w:ascii="黑体" w:hAnsi="宋体" w:eastAsia="黑体" w:cs="Arial"/>
          <w:bCs/>
          <w:color w:val="000000"/>
          <w:sz w:val="32"/>
          <w:szCs w:val="32"/>
        </w:rPr>
        <w:t>：</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燃气执法监管</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spacing w:line="600" w:lineRule="exact"/>
        <w:jc w:val="left"/>
        <w:rPr>
          <w:rFonts w:hint="eastAsia" w:ascii="黑体" w:hAnsi="宋体" w:eastAsia="黑体" w:cs="Arial"/>
          <w:bCs/>
          <w:color w:val="000000"/>
          <w:sz w:val="32"/>
          <w:szCs w:val="32"/>
        </w:rPr>
      </w:pPr>
    </w:p>
    <w:p>
      <w:pPr>
        <w:spacing w:line="600" w:lineRule="exact"/>
        <w:ind w:firstLine="800" w:firstLineChars="250"/>
        <w:jc w:val="left"/>
        <w:rPr>
          <w:rFonts w:hint="eastAsia" w:ascii="黑体" w:hAnsi="宋体" w:eastAsia="黑体" w:cs="Arial"/>
          <w:bCs/>
          <w:color w:val="000000"/>
          <w:sz w:val="32"/>
          <w:szCs w:val="32"/>
        </w:rPr>
      </w:pPr>
      <w:r>
        <w:rPr>
          <w:rFonts w:hint="eastAsia" w:ascii="黑体" w:hAnsi="宋体" w:eastAsia="黑体" w:cs="Arial"/>
          <w:bCs/>
          <w:color w:val="000000"/>
          <w:sz w:val="32"/>
          <w:szCs w:val="32"/>
          <w:lang w:eastAsia="zh-CN"/>
        </w:rPr>
        <w:t>项目</w:t>
      </w:r>
      <w:r>
        <w:rPr>
          <w:rFonts w:hint="eastAsia" w:ascii="黑体" w:hAnsi="宋体" w:eastAsia="黑体" w:cs="Arial"/>
          <w:bCs/>
          <w:color w:val="000000"/>
          <w:sz w:val="32"/>
          <w:szCs w:val="32"/>
        </w:rPr>
        <w:t>单位：</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南昌市排水事务中心（原市燃气管理处） </w:t>
      </w:r>
    </w:p>
    <w:p>
      <w:pPr>
        <w:spacing w:line="600" w:lineRule="exact"/>
        <w:jc w:val="left"/>
        <w:rPr>
          <w:rFonts w:hint="eastAsia" w:ascii="黑体" w:hAnsi="宋体" w:eastAsia="黑体" w:cs="Arial"/>
          <w:bCs/>
          <w:color w:val="000000"/>
          <w:sz w:val="32"/>
          <w:szCs w:val="32"/>
        </w:rPr>
      </w:pPr>
    </w:p>
    <w:p>
      <w:pPr>
        <w:spacing w:line="600" w:lineRule="exact"/>
        <w:ind w:firstLine="800" w:firstLineChars="250"/>
        <w:jc w:val="left"/>
        <w:rPr>
          <w:rFonts w:hint="default" w:ascii="黑体" w:hAnsi="宋体" w:eastAsia="黑体" w:cs="Arial"/>
          <w:bCs/>
          <w:color w:val="000000"/>
          <w:sz w:val="32"/>
          <w:szCs w:val="32"/>
          <w:lang w:val="en-US" w:eastAsia="zh-CN"/>
        </w:rPr>
      </w:pPr>
      <w:r>
        <w:rPr>
          <w:rFonts w:hint="eastAsia" w:ascii="黑体" w:hAnsi="宋体" w:eastAsia="黑体" w:cs="Arial"/>
          <w:bCs/>
          <w:color w:val="000000"/>
          <w:sz w:val="32"/>
          <w:szCs w:val="32"/>
        </w:rPr>
        <w:t>主管部门：</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南昌市城市管理和综合执法局（盖章）</w:t>
      </w:r>
      <w:r>
        <w:rPr>
          <w:rFonts w:hint="eastAsia" w:ascii="黑体" w:hAnsi="黑体" w:eastAsia="黑体" w:cs="黑体"/>
          <w:bCs/>
          <w:color w:val="000000"/>
          <w:sz w:val="32"/>
          <w:szCs w:val="32"/>
          <w:u w:val="single"/>
          <w:lang w:val="en-US" w:eastAsia="zh-CN"/>
        </w:rPr>
        <w:t xml:space="preserve">  </w:t>
      </w:r>
    </w:p>
    <w:p>
      <w:pPr>
        <w:spacing w:line="600" w:lineRule="exact"/>
        <w:jc w:val="left"/>
        <w:rPr>
          <w:rFonts w:hint="eastAsia" w:ascii="黑体" w:hAnsi="宋体" w:eastAsia="黑体" w:cs="Arial"/>
          <w:bCs/>
          <w:color w:val="000000"/>
          <w:sz w:val="32"/>
          <w:szCs w:val="32"/>
        </w:rPr>
      </w:pPr>
    </w:p>
    <w:p>
      <w:pPr>
        <w:spacing w:line="600" w:lineRule="exact"/>
        <w:ind w:firstLine="800" w:firstLineChars="250"/>
        <w:jc w:val="left"/>
        <w:rPr>
          <w:rFonts w:hint="default" w:ascii="黑体" w:hAnsi="宋体" w:eastAsia="黑体" w:cs="Arial"/>
          <w:bCs/>
          <w:color w:val="000000"/>
          <w:sz w:val="32"/>
          <w:szCs w:val="32"/>
          <w:lang w:val="en-US" w:eastAsia="zh-CN"/>
        </w:rPr>
      </w:pPr>
      <w:r>
        <w:rPr>
          <w:rFonts w:hint="eastAsia" w:ascii="黑体" w:hAnsi="宋体" w:eastAsia="黑体" w:cs="Arial"/>
          <w:bCs/>
          <w:color w:val="000000"/>
          <w:sz w:val="32"/>
          <w:szCs w:val="32"/>
        </w:rPr>
        <w:t>评价</w:t>
      </w:r>
      <w:r>
        <w:rPr>
          <w:rFonts w:hint="eastAsia" w:ascii="黑体" w:hAnsi="宋体" w:eastAsia="黑体" w:cs="Arial"/>
          <w:bCs/>
          <w:color w:val="000000"/>
          <w:sz w:val="32"/>
          <w:szCs w:val="32"/>
          <w:lang w:eastAsia="zh-CN"/>
        </w:rPr>
        <w:t>时间</w:t>
      </w:r>
      <w:r>
        <w:rPr>
          <w:rFonts w:hint="eastAsia" w:ascii="黑体" w:hAnsi="宋体" w:eastAsia="黑体" w:cs="Arial"/>
          <w:bCs/>
          <w:color w:val="000000"/>
          <w:sz w:val="32"/>
          <w:szCs w:val="32"/>
        </w:rPr>
        <w:t>：</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2021</w:t>
      </w:r>
      <w:r>
        <w:rPr>
          <w:rFonts w:hint="eastAsia" w:ascii="黑体" w:hAnsi="黑体" w:eastAsia="黑体" w:cs="黑体"/>
          <w:bCs/>
          <w:color w:val="000000"/>
          <w:sz w:val="32"/>
          <w:szCs w:val="32"/>
          <w:u w:val="single"/>
          <w:lang w:eastAsia="zh-CN"/>
        </w:rPr>
        <w:t>年</w:t>
      </w:r>
      <w:r>
        <w:rPr>
          <w:rFonts w:hint="eastAsia" w:ascii="黑体" w:hAnsi="黑体" w:eastAsia="黑体" w:cs="黑体"/>
          <w:bCs/>
          <w:color w:val="000000"/>
          <w:sz w:val="32"/>
          <w:szCs w:val="32"/>
          <w:u w:val="single"/>
          <w:lang w:val="en-US" w:eastAsia="zh-CN"/>
        </w:rPr>
        <w:t xml:space="preserve">1月1日至2021年12月31日     </w:t>
      </w:r>
    </w:p>
    <w:p>
      <w:pPr>
        <w:spacing w:line="600" w:lineRule="exact"/>
        <w:jc w:val="left"/>
        <w:rPr>
          <w:rFonts w:hint="eastAsia" w:ascii="黑体" w:hAnsi="宋体" w:eastAsia="黑体" w:cs="Arial"/>
          <w:bCs/>
          <w:color w:val="000000"/>
          <w:sz w:val="32"/>
          <w:szCs w:val="32"/>
        </w:rPr>
      </w:pPr>
    </w:p>
    <w:p>
      <w:pPr>
        <w:spacing w:line="600" w:lineRule="exact"/>
        <w:ind w:firstLine="800" w:firstLineChars="250"/>
        <w:jc w:val="left"/>
        <w:rPr>
          <w:rFonts w:hint="eastAsia" w:ascii="黑体" w:hAnsi="宋体" w:eastAsia="黑体" w:cs="Arial"/>
          <w:bCs/>
          <w:color w:val="000000"/>
          <w:sz w:val="32"/>
          <w:szCs w:val="32"/>
        </w:rPr>
      </w:pPr>
      <w:r>
        <w:rPr>
          <w:rFonts w:hint="eastAsia" w:ascii="黑体" w:hAnsi="宋体" w:eastAsia="黑体" w:cs="Arial"/>
          <w:bCs/>
          <w:color w:val="000000"/>
          <w:sz w:val="32"/>
          <w:szCs w:val="32"/>
          <w:lang w:eastAsia="zh-CN"/>
        </w:rPr>
        <w:t>评价机构</w:t>
      </w:r>
      <w:r>
        <w:rPr>
          <w:rFonts w:hint="eastAsia" w:ascii="黑体" w:hAnsi="宋体" w:eastAsia="黑体" w:cs="Arial"/>
          <w:bCs/>
          <w:color w:val="000000"/>
          <w:sz w:val="32"/>
          <w:szCs w:val="32"/>
        </w:rPr>
        <w:t>：</w:t>
      </w:r>
      <w:r>
        <w:rPr>
          <w:rFonts w:hint="eastAsia" w:ascii="黑体" w:hAnsi="黑体" w:eastAsia="黑体" w:cs="黑体"/>
          <w:bCs/>
          <w:color w:val="000000"/>
          <w:sz w:val="32"/>
          <w:szCs w:val="32"/>
          <w:u w:val="single"/>
        </w:rPr>
        <w:sym w:font="Wingdings 2" w:char="00A3"/>
      </w:r>
      <w:r>
        <w:rPr>
          <w:rFonts w:hint="eastAsia" w:ascii="黑体" w:hAnsi="黑体" w:eastAsia="黑体" w:cs="黑体"/>
          <w:bCs/>
          <w:color w:val="000000"/>
          <w:sz w:val="32"/>
          <w:szCs w:val="32"/>
          <w:u w:val="single"/>
          <w:lang w:eastAsia="zh-CN"/>
        </w:rPr>
        <w:t>第三方机构</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rPr>
        <w:sym w:font="Wingdings 2" w:char="00A3"/>
      </w:r>
      <w:r>
        <w:rPr>
          <w:rFonts w:hint="eastAsia" w:ascii="黑体" w:hAnsi="黑体" w:eastAsia="黑体" w:cs="黑体"/>
          <w:bCs/>
          <w:color w:val="000000"/>
          <w:sz w:val="32"/>
          <w:szCs w:val="32"/>
          <w:u w:val="single"/>
          <w:lang w:eastAsia="zh-CN"/>
        </w:rPr>
        <w:t>专家组</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rPr>
        <w:sym w:font="Wingdings 2" w:char="0052"/>
      </w:r>
      <w:r>
        <w:rPr>
          <w:rFonts w:hint="eastAsia" w:ascii="黑体" w:hAnsi="黑体" w:eastAsia="黑体" w:cs="黑体"/>
          <w:bCs/>
          <w:color w:val="000000"/>
          <w:sz w:val="32"/>
          <w:szCs w:val="32"/>
          <w:u w:val="single"/>
          <w:lang w:eastAsia="zh-CN"/>
        </w:rPr>
        <w:t>部门评价组</w:t>
      </w: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r>
        <w:rPr>
          <w:rFonts w:hint="eastAsia" w:ascii="黑体" w:hAnsi="宋体" w:eastAsia="黑体" w:cs="Arial"/>
          <w:bCs/>
          <w:color w:val="000000"/>
          <w:sz w:val="32"/>
          <w:szCs w:val="32"/>
          <w:lang w:val="en-US" w:eastAsia="zh-CN"/>
        </w:rPr>
        <w:t>2022</w:t>
      </w:r>
      <w:r>
        <w:rPr>
          <w:rFonts w:hint="eastAsia" w:ascii="黑体" w:hAnsi="宋体" w:eastAsia="黑体" w:cs="Arial"/>
          <w:bCs/>
          <w:color w:val="000000"/>
          <w:sz w:val="32"/>
          <w:szCs w:val="32"/>
        </w:rPr>
        <w:t>年</w:t>
      </w:r>
      <w:r>
        <w:rPr>
          <w:rFonts w:hint="eastAsia" w:ascii="黑体" w:hAnsi="宋体" w:eastAsia="黑体" w:cs="Arial"/>
          <w:bCs/>
          <w:color w:val="000000"/>
          <w:sz w:val="32"/>
          <w:szCs w:val="32"/>
          <w:lang w:val="en-US" w:eastAsia="zh-CN"/>
        </w:rPr>
        <w:t>3</w:t>
      </w:r>
      <w:r>
        <w:rPr>
          <w:rFonts w:hint="eastAsia" w:ascii="黑体" w:hAnsi="宋体" w:eastAsia="黑体" w:cs="Arial"/>
          <w:bCs/>
          <w:color w:val="000000"/>
          <w:sz w:val="32"/>
          <w:szCs w:val="32"/>
        </w:rPr>
        <w:t>月</w:t>
      </w:r>
      <w:r>
        <w:rPr>
          <w:rFonts w:hint="eastAsia" w:ascii="黑体" w:hAnsi="宋体" w:eastAsia="黑体" w:cs="Arial"/>
          <w:bCs/>
          <w:color w:val="000000"/>
          <w:sz w:val="32"/>
          <w:szCs w:val="32"/>
          <w:lang w:val="en-US" w:eastAsia="zh-CN"/>
        </w:rPr>
        <w:t>21</w:t>
      </w:r>
      <w:r>
        <w:rPr>
          <w:rFonts w:hint="eastAsia" w:ascii="黑体" w:hAnsi="宋体" w:eastAsia="黑体" w:cs="Arial"/>
          <w:bCs/>
          <w:color w:val="000000"/>
          <w:sz w:val="32"/>
          <w:szCs w:val="32"/>
        </w:rPr>
        <w:t>日</w:t>
      </w: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黑体" w:eastAsia="黑体" w:cs="黑体"/>
          <w:bCs/>
          <w:color w:val="000000"/>
          <w:sz w:val="32"/>
          <w:szCs w:val="32"/>
        </w:rPr>
      </w:pPr>
    </w:p>
    <w:p>
      <w:pPr>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南昌市排水事务中心（原市燃气管理处）</w:t>
      </w:r>
    </w:p>
    <w:p>
      <w:pPr>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燃气执法监管项目支出绩效评价报告</w:t>
      </w:r>
    </w:p>
    <w:p>
      <w:pPr>
        <w:spacing w:line="600" w:lineRule="exact"/>
        <w:ind w:firstLine="640" w:firstLineChars="200"/>
        <w:rPr>
          <w:rFonts w:hint="eastAsia" w:ascii="黑体" w:hAnsi="黑体" w:eastAsia="黑体"/>
          <w:color w:val="000000"/>
          <w:sz w:val="32"/>
          <w:szCs w:val="32"/>
        </w:rPr>
      </w:pP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一、基本情况</w:t>
      </w:r>
    </w:p>
    <w:p>
      <w:pPr>
        <w:spacing w:line="600" w:lineRule="exact"/>
        <w:ind w:firstLine="643" w:firstLineChars="200"/>
        <w:outlineLvl w:val="0"/>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（一）项目概况</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outlineLvl w:val="0"/>
        <w:rPr>
          <w:rFonts w:hint="eastAsia" w:ascii="黑体" w:hAnsi="黑体" w:eastAsia="黑体" w:cs="黑体"/>
          <w:sz w:val="28"/>
          <w:szCs w:val="28"/>
        </w:rPr>
      </w:pPr>
      <w:r>
        <w:rPr>
          <w:rFonts w:hint="eastAsia" w:ascii="黑体" w:hAnsi="黑体" w:eastAsia="黑体" w:cs="黑体"/>
          <w:sz w:val="28"/>
          <w:szCs w:val="28"/>
        </w:rPr>
        <w:t>1、项目背景</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_GB2312"/>
          <w:sz w:val="32"/>
          <w:szCs w:val="32"/>
          <w:lang w:eastAsia="zh-CN"/>
        </w:rPr>
      </w:pPr>
      <w:r>
        <w:rPr>
          <w:rFonts w:hint="eastAsia" w:ascii="仿宋" w:hAnsi="仿宋" w:eastAsia="仿宋" w:cs="仿宋"/>
          <w:kern w:val="2"/>
          <w:sz w:val="32"/>
          <w:szCs w:val="32"/>
          <w:lang w:val="en-US" w:eastAsia="zh-CN" w:bidi="ar-SA"/>
        </w:rPr>
        <w:t>为解决我市燃气安全宣传问题，改善我市燃气市场，建立燃气市场长效管理机制，加强燃气行业管理提供了帮助，推进燃气安全执法工作，</w:t>
      </w:r>
      <w:r>
        <w:rPr>
          <w:rFonts w:hint="eastAsia" w:ascii="仿宋" w:hAnsi="仿宋" w:eastAsia="仿宋" w:cs="宋体"/>
          <w:color w:val="000000"/>
          <w:kern w:val="0"/>
          <w:sz w:val="32"/>
          <w:szCs w:val="32"/>
          <w:highlight w:val="none"/>
        </w:rPr>
        <w:t>根</w:t>
      </w:r>
      <w:r>
        <w:rPr>
          <w:rFonts w:hint="eastAsia" w:ascii="仿宋" w:hAnsi="仿宋" w:eastAsia="仿宋" w:cs="仿宋"/>
          <w:sz w:val="32"/>
          <w:szCs w:val="32"/>
          <w:highlight w:val="none"/>
        </w:rPr>
        <w:t>据南昌市人民政府办公厅抄告单洪府厅抄字（2018）512号</w:t>
      </w:r>
      <w:r>
        <w:rPr>
          <w:rFonts w:hint="eastAsia" w:ascii="仿宋" w:hAnsi="仿宋" w:eastAsia="仿宋" w:cs="仿宋"/>
          <w:sz w:val="32"/>
          <w:szCs w:val="32"/>
          <w:highlight w:val="none"/>
          <w:lang w:val="en-US" w:eastAsia="zh-CN"/>
        </w:rPr>
        <w:t>文件要求</w:t>
      </w:r>
      <w:r>
        <w:rPr>
          <w:rFonts w:hint="eastAsia" w:ascii="仿宋" w:hAnsi="仿宋" w:eastAsia="仿宋" w:cs="仿宋"/>
          <w:sz w:val="32"/>
          <w:szCs w:val="32"/>
          <w:lang w:eastAsia="zh-CN"/>
        </w:rPr>
        <w:t>，</w:t>
      </w:r>
      <w:r>
        <w:rPr>
          <w:rFonts w:hint="eastAsia" w:ascii="仿宋" w:hAnsi="仿宋" w:eastAsia="仿宋" w:cs="仿宋"/>
          <w:sz w:val="32"/>
          <w:szCs w:val="32"/>
        </w:rPr>
        <w:t>同意在20</w:t>
      </w:r>
      <w:r>
        <w:rPr>
          <w:rFonts w:hint="eastAsia" w:ascii="仿宋" w:hAnsi="仿宋" w:eastAsia="仿宋" w:cs="仿宋"/>
          <w:sz w:val="32"/>
          <w:szCs w:val="32"/>
          <w:lang w:val="en-US" w:eastAsia="zh-CN"/>
        </w:rPr>
        <w:t>21</w:t>
      </w:r>
      <w:r>
        <w:rPr>
          <w:rFonts w:hint="eastAsia" w:ascii="仿宋" w:hAnsi="仿宋" w:eastAsia="仿宋" w:cs="仿宋"/>
          <w:sz w:val="32"/>
          <w:szCs w:val="32"/>
        </w:rPr>
        <w:t>年单位部门预算中列入</w:t>
      </w:r>
      <w:r>
        <w:rPr>
          <w:rFonts w:hint="eastAsia" w:ascii="仿宋" w:hAnsi="仿宋" w:eastAsia="仿宋"/>
          <w:sz w:val="32"/>
          <w:szCs w:val="32"/>
        </w:rPr>
        <w:t>燃气执法监管</w:t>
      </w:r>
      <w:r>
        <w:rPr>
          <w:rFonts w:hint="eastAsia" w:ascii="仿宋" w:hAnsi="仿宋" w:eastAsia="仿宋"/>
          <w:sz w:val="32"/>
          <w:szCs w:val="32"/>
          <w:lang w:val="en-US" w:eastAsia="zh-CN"/>
        </w:rPr>
        <w:t>经费38.4万元。</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outlineLvl w:val="0"/>
        <w:rPr>
          <w:rFonts w:hint="eastAsia" w:ascii="黑体" w:hAnsi="黑体" w:eastAsia="黑体" w:cs="黑体"/>
          <w:sz w:val="28"/>
          <w:szCs w:val="28"/>
        </w:rPr>
      </w:pPr>
      <w:r>
        <w:rPr>
          <w:rFonts w:hint="eastAsia" w:ascii="黑体" w:hAnsi="黑体" w:eastAsia="黑体" w:cs="黑体"/>
          <w:sz w:val="28"/>
          <w:szCs w:val="28"/>
        </w:rPr>
        <w:t>2、项目主要内容及实施情况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该项目为</w:t>
      </w:r>
      <w:r>
        <w:rPr>
          <w:rFonts w:hint="eastAsia" w:ascii="仿宋_GB2312" w:eastAsia="仿宋_GB2312"/>
          <w:sz w:val="32"/>
          <w:szCs w:val="32"/>
          <w:lang w:val="en-US" w:eastAsia="zh-CN"/>
        </w:rPr>
        <w:t>其他行政事业类项目</w:t>
      </w:r>
      <w:r>
        <w:rPr>
          <w:rFonts w:hint="eastAsia" w:ascii="仿宋_GB2312" w:eastAsia="仿宋_GB2312"/>
          <w:sz w:val="32"/>
          <w:szCs w:val="32"/>
        </w:rPr>
        <w:t>，主要内容</w:t>
      </w:r>
      <w:r>
        <w:rPr>
          <w:rFonts w:hint="eastAsia" w:ascii="仿宋" w:hAnsi="仿宋" w:eastAsia="仿宋" w:cs="仿宋"/>
          <w:kern w:val="2"/>
          <w:sz w:val="32"/>
          <w:szCs w:val="32"/>
          <w:lang w:val="en-US" w:eastAsia="zh-CN" w:bidi="ar-SA"/>
        </w:rPr>
        <w:t>为解决我市燃气安全宣传问题，改善我市燃气市场，建立燃气市场长效管理机制，加强燃气行业管理提供了帮助，推进燃气安全执法工作</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黑体" w:hAnsi="黑体" w:eastAsia="黑体" w:cs="黑体"/>
          <w:sz w:val="32"/>
          <w:szCs w:val="32"/>
        </w:rPr>
      </w:pPr>
      <w:r>
        <w:rPr>
          <w:rFonts w:hint="eastAsia" w:ascii="仿宋" w:hAnsi="仿宋" w:eastAsia="仿宋" w:cs="仿宋"/>
          <w:kern w:val="2"/>
          <w:sz w:val="32"/>
          <w:szCs w:val="32"/>
          <w:lang w:val="en-US" w:eastAsia="zh-CN" w:bidi="ar-SA"/>
        </w:rPr>
        <w:t>燃气执法监管项目计划全年开展10次开展联合县区燃气管理部门执法，开展管道燃气企业执法检查12次，加大执法调查力度；同时计划考核县、区燃气执法落实情况12次，推进燃气安全执法工作。截止到2021年年底，已经基本按要求完成所有工作计划。</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outlineLvl w:val="0"/>
        <w:rPr>
          <w:rFonts w:hint="eastAsia" w:ascii="黑体" w:hAnsi="黑体" w:eastAsia="黑体" w:cs="黑体"/>
          <w:sz w:val="28"/>
          <w:szCs w:val="28"/>
        </w:rPr>
      </w:pPr>
      <w:r>
        <w:rPr>
          <w:rFonts w:hint="eastAsia" w:ascii="黑体" w:hAnsi="黑体" w:eastAsia="黑体" w:cs="黑体"/>
          <w:sz w:val="28"/>
          <w:szCs w:val="28"/>
          <w:lang w:val="en-US" w:eastAsia="zh-CN"/>
        </w:rPr>
        <w:t>3、</w:t>
      </w:r>
      <w:r>
        <w:rPr>
          <w:rFonts w:hint="eastAsia" w:ascii="黑体" w:hAnsi="黑体" w:eastAsia="黑体" w:cs="黑体"/>
          <w:sz w:val="28"/>
          <w:szCs w:val="28"/>
        </w:rPr>
        <w:t>资金投入和使用情况</w:t>
      </w:r>
    </w:p>
    <w:p>
      <w:pPr>
        <w:spacing w:line="560" w:lineRule="exact"/>
        <w:ind w:firstLine="640" w:firstLineChars="200"/>
        <w:rPr>
          <w:rFonts w:hint="eastAsia" w:ascii="楷体_GB2312" w:hAnsi="楷体_GB2312" w:eastAsia="楷体_GB2312" w:cs="楷体_GB2312"/>
          <w:b/>
          <w:bCs w:val="0"/>
          <w:color w:val="000000"/>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w:t>
      </w:r>
      <w:r>
        <w:rPr>
          <w:rFonts w:hint="eastAsia" w:ascii="仿宋" w:hAnsi="仿宋" w:eastAsia="仿宋" w:cs="仿宋"/>
          <w:kern w:val="2"/>
          <w:sz w:val="32"/>
          <w:szCs w:val="32"/>
          <w:lang w:val="en-US" w:eastAsia="zh-CN" w:bidi="ar-SA"/>
        </w:rPr>
        <w:t>燃气执法监管项目</w:t>
      </w:r>
      <w:r>
        <w:rPr>
          <w:rFonts w:hint="eastAsia" w:ascii="仿宋" w:hAnsi="仿宋" w:eastAsia="仿宋"/>
          <w:sz w:val="32"/>
          <w:szCs w:val="32"/>
        </w:rPr>
        <w:t>年初预算金额为38.4万元，实际到位资金38.4万元，全年执行数38.4万元，执行率100%。</w:t>
      </w:r>
      <w:r>
        <w:rPr>
          <w:rFonts w:hint="eastAsia" w:ascii="仿宋" w:hAnsi="仿宋" w:eastAsia="仿宋"/>
          <w:sz w:val="32"/>
          <w:szCs w:val="32"/>
          <w:lang w:val="en-US" w:eastAsia="zh-CN"/>
        </w:rPr>
        <w:t>该项目支出主要用于开展联合执法监查工作以及</w:t>
      </w:r>
      <w:r>
        <w:rPr>
          <w:rFonts w:hint="eastAsia" w:ascii="仿宋" w:hAnsi="仿宋" w:eastAsia="仿宋" w:cs="仿宋"/>
          <w:kern w:val="2"/>
          <w:sz w:val="32"/>
          <w:szCs w:val="32"/>
          <w:lang w:val="en-US" w:eastAsia="zh-CN" w:bidi="ar-SA"/>
        </w:rPr>
        <w:t>考核县、区燃气执法落实情况等</w:t>
      </w:r>
      <w:r>
        <w:rPr>
          <w:rFonts w:hint="eastAsia" w:ascii="仿宋" w:hAnsi="仿宋" w:eastAsia="仿宋"/>
          <w:sz w:val="32"/>
          <w:szCs w:val="32"/>
          <w:lang w:val="en-US" w:eastAsia="zh-CN"/>
        </w:rPr>
        <w:t>。</w:t>
      </w:r>
      <w:r>
        <w:rPr>
          <w:rFonts w:hint="eastAsia" w:ascii="仿宋" w:hAnsi="仿宋" w:eastAsia="仿宋"/>
          <w:sz w:val="32"/>
          <w:szCs w:val="32"/>
        </w:rPr>
        <w:t>在项目资金管理中，南昌市排水事务中心（原市燃气管理处）严格按照财务管理制度，严格财务支出流程，对于项目资金未出现无故截留。</w:t>
      </w:r>
    </w:p>
    <w:p>
      <w:pPr>
        <w:numPr>
          <w:ilvl w:val="0"/>
          <w:numId w:val="1"/>
        </w:numPr>
        <w:spacing w:line="600" w:lineRule="exact"/>
        <w:ind w:firstLine="643" w:firstLineChars="200"/>
        <w:outlineLvl w:val="0"/>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项目绩效目标</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1、总体目标</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sz w:val="32"/>
          <w:szCs w:val="32"/>
        </w:rPr>
      </w:pPr>
      <w:r>
        <w:rPr>
          <w:rFonts w:hint="eastAsia" w:ascii="仿宋" w:hAnsi="仿宋" w:eastAsia="仿宋"/>
          <w:sz w:val="32"/>
          <w:szCs w:val="32"/>
        </w:rPr>
        <w:t>围绕省、市重大重点项目建设，加强业务指导，改善我市燃气市场，建立燃气市场长效管理机制，强化燃气行业管理，围绕省、市重大重点项目建设，加强业务指导，开展执法督查工作，加大执法力度；推进燃气安全宣传工作；充分利用科学宣传手段为城市建设服务。</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2、阶段性目标</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sz w:val="32"/>
          <w:szCs w:val="32"/>
        </w:rPr>
      </w:pPr>
      <w:r>
        <w:rPr>
          <w:rFonts w:hint="eastAsia" w:ascii="仿宋" w:hAnsi="仿宋" w:eastAsia="仿宋"/>
          <w:sz w:val="32"/>
          <w:szCs w:val="32"/>
        </w:rPr>
        <w:t>按照市委、市政府202</w:t>
      </w:r>
      <w:r>
        <w:rPr>
          <w:rFonts w:hint="eastAsia" w:ascii="仿宋" w:hAnsi="仿宋" w:eastAsia="仿宋"/>
          <w:sz w:val="32"/>
          <w:szCs w:val="32"/>
          <w:lang w:val="en-US" w:eastAsia="zh-CN"/>
        </w:rPr>
        <w:t>1</w:t>
      </w:r>
      <w:r>
        <w:rPr>
          <w:rFonts w:hint="eastAsia" w:ascii="仿宋" w:hAnsi="仿宋" w:eastAsia="仿宋"/>
          <w:sz w:val="32"/>
          <w:szCs w:val="32"/>
        </w:rPr>
        <w:t>年工作会议部署，牢固树立和贯彻落实新发展理念，坚持以推动落实企业安全生产主体责任为核心，以全面推进安全隐患排查整改、苦练行业安全管理内功、选树行业先进典型为重点，在文明创建中体现燃气行业担当作为。</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二、绩效评价工作开展情况</w:t>
      </w:r>
    </w:p>
    <w:p>
      <w:pPr>
        <w:spacing w:line="600" w:lineRule="exact"/>
        <w:ind w:firstLine="643" w:firstLineChars="200"/>
        <w:outlineLvl w:val="0"/>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（一）绩效评价目的、对象和范围</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eastAsia="黑体"/>
          <w:sz w:val="28"/>
          <w:szCs w:val="28"/>
        </w:rPr>
      </w:pPr>
      <w:r>
        <w:rPr>
          <w:rFonts w:hint="eastAsia" w:ascii="黑体" w:eastAsia="黑体"/>
          <w:sz w:val="28"/>
          <w:szCs w:val="28"/>
        </w:rPr>
        <w:t>1、绩效评价目的</w:t>
      </w:r>
    </w:p>
    <w:p>
      <w:pPr>
        <w:keepNext w:val="0"/>
        <w:keepLines w:val="0"/>
        <w:pageBreakBefore w:val="0"/>
        <w:widowControl w:val="0"/>
        <w:kinsoku/>
        <w:wordWrap/>
        <w:overflowPunct/>
        <w:topLinePunct w:val="0"/>
        <w:autoSpaceDE/>
        <w:autoSpaceDN/>
        <w:bidi w:val="0"/>
        <w:snapToGrid w:val="0"/>
        <w:spacing w:line="600" w:lineRule="exact"/>
        <w:ind w:left="0" w:firstLine="640" w:firstLineChars="200"/>
        <w:textAlignment w:val="auto"/>
        <w:rPr>
          <w:rFonts w:hint="eastAsia" w:ascii="仿宋" w:hAnsi="仿宋" w:eastAsia="仿宋"/>
          <w:sz w:val="32"/>
          <w:szCs w:val="32"/>
        </w:rPr>
      </w:pPr>
      <w:r>
        <w:rPr>
          <w:rFonts w:hint="eastAsia" w:ascii="仿宋" w:hAnsi="仿宋" w:eastAsia="仿宋" w:cs="仿宋_GB2312"/>
          <w:sz w:val="32"/>
          <w:szCs w:val="32"/>
        </w:rPr>
        <w:t>通过绩效评价，科学、客观、公正的对202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年度项目资金进行整体综合性评价，反映其社会效益，更好地发挥其政策扶持、引导作用。</w:t>
      </w:r>
      <w:r>
        <w:rPr>
          <w:rFonts w:hint="eastAsia" w:ascii="仿宋" w:hAnsi="仿宋" w:eastAsia="仿宋" w:cs="仿宋"/>
          <w:sz w:val="32"/>
          <w:szCs w:val="32"/>
        </w:rPr>
        <w:t>加强财政支出管理，强化支出责任，建立科学、合理的市本级财政专项资金绩效评价管理体系，促进公共财政阳光化，提高财政资金使用效益。</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eastAsia="黑体"/>
          <w:sz w:val="28"/>
          <w:szCs w:val="28"/>
        </w:rPr>
      </w:pPr>
      <w:r>
        <w:rPr>
          <w:rFonts w:hint="eastAsia" w:ascii="黑体" w:eastAsia="黑体"/>
          <w:sz w:val="28"/>
          <w:szCs w:val="28"/>
        </w:rPr>
        <w:t>2、绩效评价对象和范围</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rPr>
        <w:t>对象：202</w:t>
      </w:r>
      <w:r>
        <w:rPr>
          <w:rFonts w:hint="eastAsia" w:ascii="仿宋" w:hAnsi="仿宋" w:eastAsia="仿宋"/>
          <w:sz w:val="32"/>
          <w:szCs w:val="32"/>
          <w:lang w:val="en-US" w:eastAsia="zh-CN"/>
        </w:rPr>
        <w:t>1</w:t>
      </w:r>
      <w:r>
        <w:rPr>
          <w:rFonts w:hint="eastAsia" w:ascii="仿宋" w:hAnsi="仿宋" w:eastAsia="仿宋"/>
          <w:sz w:val="32"/>
          <w:szCs w:val="32"/>
        </w:rPr>
        <w:t>年燃气执法监管项目。</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rPr>
        <w:t>范围：执法督查、燃气管理部门填写各类安全检查记录表等工作的资金投入和工作效果。</w:t>
      </w:r>
    </w:p>
    <w:p>
      <w:pPr>
        <w:spacing w:line="600" w:lineRule="exact"/>
        <w:ind w:firstLine="643" w:firstLineChars="200"/>
        <w:outlineLvl w:val="0"/>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（二）绩效评价原则、评价指标体系（附表说明）、评价方法、评价标准等。</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Calibri" w:eastAsia="黑体" w:cs="Times New Roman"/>
          <w:sz w:val="28"/>
          <w:szCs w:val="28"/>
        </w:rPr>
      </w:pPr>
      <w:r>
        <w:rPr>
          <w:rFonts w:hint="eastAsia" w:ascii="黑体" w:hAnsi="Calibri" w:eastAsia="黑体" w:cs="Times New Roman"/>
          <w:sz w:val="28"/>
          <w:szCs w:val="28"/>
          <w:lang w:val="en-US" w:eastAsia="zh-CN"/>
        </w:rPr>
        <w:t>1、</w:t>
      </w:r>
      <w:r>
        <w:rPr>
          <w:rFonts w:hint="eastAsia" w:ascii="黑体" w:hAnsi="Calibri" w:eastAsia="黑体" w:cs="Times New Roman"/>
          <w:sz w:val="28"/>
          <w:szCs w:val="28"/>
        </w:rPr>
        <w:t>绩效评价原则</w:t>
      </w:r>
    </w:p>
    <w:p>
      <w:pPr>
        <w:keepNext w:val="0"/>
        <w:keepLines w:val="0"/>
        <w:pageBreakBefore w:val="0"/>
        <w:widowControl w:val="0"/>
        <w:kinsoku/>
        <w:wordWrap/>
        <w:overflowPunct/>
        <w:topLinePunct w:val="0"/>
        <w:autoSpaceDE/>
        <w:autoSpaceDN/>
        <w:bidi w:val="0"/>
        <w:snapToGrid w:val="0"/>
        <w:spacing w:line="600" w:lineRule="exact"/>
        <w:ind w:left="0" w:firstLine="640" w:firstLineChars="200"/>
        <w:jc w:val="left"/>
        <w:textAlignment w:val="auto"/>
        <w:rPr>
          <w:rFonts w:hint="eastAsia" w:ascii="仿宋" w:hAnsi="仿宋" w:eastAsia="仿宋" w:cs="仿宋_GB2312"/>
          <w:sz w:val="32"/>
          <w:szCs w:val="32"/>
        </w:rPr>
      </w:pPr>
      <w:r>
        <w:rPr>
          <w:rFonts w:hint="eastAsia" w:ascii="仿宋" w:hAnsi="仿宋" w:eastAsia="仿宋" w:cs="仿宋_GB2312"/>
          <w:sz w:val="32"/>
          <w:szCs w:val="32"/>
        </w:rPr>
        <w:t>（1）客观、科学、公正的原则；</w:t>
      </w:r>
    </w:p>
    <w:p>
      <w:pPr>
        <w:keepNext w:val="0"/>
        <w:keepLines w:val="0"/>
        <w:pageBreakBefore w:val="0"/>
        <w:widowControl w:val="0"/>
        <w:kinsoku/>
        <w:wordWrap/>
        <w:overflowPunct/>
        <w:topLinePunct w:val="0"/>
        <w:autoSpaceDE/>
        <w:autoSpaceDN/>
        <w:bidi w:val="0"/>
        <w:snapToGrid w:val="0"/>
        <w:spacing w:line="600" w:lineRule="exact"/>
        <w:ind w:left="0" w:firstLine="640" w:firstLineChars="200"/>
        <w:jc w:val="left"/>
        <w:textAlignment w:val="auto"/>
        <w:rPr>
          <w:rFonts w:hint="eastAsia" w:ascii="仿宋" w:hAnsi="仿宋" w:eastAsia="仿宋" w:cs="仿宋_GB2312"/>
          <w:sz w:val="32"/>
          <w:szCs w:val="32"/>
        </w:rPr>
      </w:pPr>
      <w:r>
        <w:rPr>
          <w:rFonts w:hint="eastAsia" w:ascii="仿宋" w:hAnsi="仿宋" w:eastAsia="仿宋" w:cs="仿宋_GB2312"/>
          <w:sz w:val="32"/>
          <w:szCs w:val="32"/>
        </w:rPr>
        <w:t>（2）综合绩效评价的原则；</w:t>
      </w:r>
    </w:p>
    <w:p>
      <w:pPr>
        <w:keepNext w:val="0"/>
        <w:keepLines w:val="0"/>
        <w:pageBreakBefore w:val="0"/>
        <w:widowControl w:val="0"/>
        <w:kinsoku/>
        <w:wordWrap/>
        <w:overflowPunct/>
        <w:topLinePunct w:val="0"/>
        <w:autoSpaceDE/>
        <w:autoSpaceDN/>
        <w:bidi w:val="0"/>
        <w:snapToGrid w:val="0"/>
        <w:spacing w:line="600" w:lineRule="exact"/>
        <w:ind w:left="0" w:firstLine="640" w:firstLineChars="200"/>
        <w:jc w:val="left"/>
        <w:textAlignment w:val="auto"/>
        <w:rPr>
          <w:rFonts w:hint="eastAsia" w:ascii="仿宋" w:hAnsi="仿宋" w:eastAsia="仿宋" w:cs="仿宋_GB2312"/>
          <w:sz w:val="32"/>
          <w:szCs w:val="32"/>
        </w:rPr>
      </w:pPr>
      <w:r>
        <w:rPr>
          <w:rFonts w:hint="eastAsia" w:ascii="仿宋" w:hAnsi="仿宋" w:eastAsia="仿宋" w:cs="仿宋_GB2312"/>
          <w:sz w:val="32"/>
          <w:szCs w:val="32"/>
        </w:rPr>
        <w:t>（3）定量分析与定性分析的原则；</w:t>
      </w:r>
    </w:p>
    <w:p>
      <w:pPr>
        <w:keepNext w:val="0"/>
        <w:keepLines w:val="0"/>
        <w:pageBreakBefore w:val="0"/>
        <w:widowControl w:val="0"/>
        <w:kinsoku/>
        <w:wordWrap/>
        <w:overflowPunct/>
        <w:topLinePunct w:val="0"/>
        <w:autoSpaceDE/>
        <w:autoSpaceDN/>
        <w:bidi w:val="0"/>
        <w:snapToGrid w:val="0"/>
        <w:spacing w:line="600" w:lineRule="exact"/>
        <w:ind w:left="0" w:firstLine="640" w:firstLineChars="200"/>
        <w:jc w:val="left"/>
        <w:textAlignment w:val="auto"/>
        <w:rPr>
          <w:rFonts w:hint="eastAsia" w:ascii="仿宋" w:hAnsi="仿宋" w:eastAsia="仿宋" w:cs="仿宋_GB2312"/>
          <w:sz w:val="32"/>
          <w:szCs w:val="32"/>
        </w:rPr>
      </w:pPr>
      <w:r>
        <w:rPr>
          <w:rFonts w:hint="eastAsia" w:ascii="仿宋" w:hAnsi="仿宋" w:eastAsia="仿宋" w:cs="仿宋_GB2312"/>
          <w:sz w:val="32"/>
          <w:szCs w:val="32"/>
        </w:rPr>
        <w:t>（4）统筹规划、稳步推进的原则；</w:t>
      </w:r>
    </w:p>
    <w:p>
      <w:pPr>
        <w:keepNext w:val="0"/>
        <w:keepLines w:val="0"/>
        <w:pageBreakBefore w:val="0"/>
        <w:widowControl w:val="0"/>
        <w:kinsoku/>
        <w:wordWrap/>
        <w:overflowPunct/>
        <w:topLinePunct w:val="0"/>
        <w:autoSpaceDE/>
        <w:autoSpaceDN/>
        <w:bidi w:val="0"/>
        <w:snapToGrid w:val="0"/>
        <w:spacing w:line="600" w:lineRule="exact"/>
        <w:ind w:left="0" w:firstLine="640" w:firstLineChars="200"/>
        <w:jc w:val="left"/>
        <w:textAlignment w:val="auto"/>
        <w:rPr>
          <w:rFonts w:hint="eastAsia" w:ascii="仿宋" w:hAnsi="仿宋" w:eastAsia="仿宋" w:cs="仿宋_GB2312"/>
          <w:sz w:val="32"/>
          <w:szCs w:val="32"/>
        </w:rPr>
      </w:pPr>
      <w:r>
        <w:rPr>
          <w:rFonts w:hint="eastAsia" w:ascii="仿宋" w:hAnsi="仿宋" w:eastAsia="仿宋" w:cs="仿宋_GB2312"/>
          <w:sz w:val="32"/>
          <w:szCs w:val="32"/>
        </w:rPr>
        <w:t>（5）财政支出绩效评价与财政支出管理相结合的原则；</w:t>
      </w:r>
    </w:p>
    <w:p>
      <w:pPr>
        <w:keepNext w:val="0"/>
        <w:keepLines w:val="0"/>
        <w:pageBreakBefore w:val="0"/>
        <w:widowControl w:val="0"/>
        <w:kinsoku/>
        <w:wordWrap/>
        <w:overflowPunct/>
        <w:topLinePunct w:val="0"/>
        <w:autoSpaceDE/>
        <w:autoSpaceDN/>
        <w:bidi w:val="0"/>
        <w:snapToGrid w:val="0"/>
        <w:spacing w:line="600" w:lineRule="exact"/>
        <w:ind w:left="0"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（6）财政支出绩效评价贯彻事前、事中、事后的原则。</w:t>
      </w:r>
    </w:p>
    <w:p>
      <w:pPr>
        <w:keepNext w:val="0"/>
        <w:keepLines w:val="0"/>
        <w:pageBreakBefore w:val="0"/>
        <w:widowControl w:val="0"/>
        <w:kinsoku/>
        <w:wordWrap/>
        <w:overflowPunct/>
        <w:topLinePunct w:val="0"/>
        <w:autoSpaceDE/>
        <w:autoSpaceDN/>
        <w:bidi w:val="0"/>
        <w:snapToGrid w:val="0"/>
        <w:spacing w:line="600" w:lineRule="exact"/>
        <w:ind w:left="0" w:firstLine="560" w:firstLineChars="200"/>
        <w:textAlignment w:val="auto"/>
        <w:rPr>
          <w:rFonts w:hint="eastAsia" w:ascii="黑体" w:eastAsia="黑体"/>
          <w:sz w:val="28"/>
          <w:szCs w:val="28"/>
        </w:rPr>
      </w:pPr>
      <w:r>
        <w:rPr>
          <w:rFonts w:hint="eastAsia" w:ascii="黑体" w:eastAsia="黑体"/>
          <w:sz w:val="28"/>
          <w:szCs w:val="28"/>
        </w:rPr>
        <w:t>2、评价指标体系</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sz w:val="32"/>
          <w:szCs w:val="32"/>
        </w:rPr>
      </w:pPr>
      <w:r>
        <w:rPr>
          <w:rFonts w:hint="eastAsia" w:ascii="仿宋" w:hAnsi="仿宋" w:eastAsia="仿宋"/>
          <w:sz w:val="32"/>
          <w:szCs w:val="32"/>
        </w:rPr>
        <w:t>本项目绩效评价建立了三级评价指标体系，见下表：</w:t>
      </w:r>
    </w:p>
    <w:tbl>
      <w:tblPr>
        <w:tblStyle w:val="7"/>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41"/>
        <w:gridCol w:w="1200"/>
        <w:gridCol w:w="660"/>
        <w:gridCol w:w="2235"/>
        <w:gridCol w:w="675"/>
        <w:gridCol w:w="3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tblHeader/>
          <w:jc w:val="center"/>
        </w:trPr>
        <w:tc>
          <w:tcPr>
            <w:tcW w:w="1141"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一级</w:t>
            </w:r>
          </w:p>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指标</w:t>
            </w:r>
          </w:p>
        </w:tc>
        <w:tc>
          <w:tcPr>
            <w:tcW w:w="1200"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二级指标</w:t>
            </w:r>
          </w:p>
        </w:tc>
        <w:tc>
          <w:tcPr>
            <w:tcW w:w="660" w:type="dxa"/>
            <w:shd w:val="clear" w:color="auto" w:fill="auto"/>
            <w:noWrap w:val="0"/>
            <w:vAlign w:val="center"/>
          </w:tcPr>
          <w:p>
            <w:pPr>
              <w:widowControl/>
              <w:jc w:val="center"/>
              <w:rPr>
                <w:rFonts w:hint="eastAsia" w:ascii="黑体" w:hAnsi="黑体" w:eastAsia="黑体" w:cs="黑体"/>
                <w:bCs/>
                <w:color w:val="000000"/>
                <w:kern w:val="0"/>
                <w:szCs w:val="21"/>
                <w:lang w:eastAsia="zh-CN"/>
              </w:rPr>
            </w:pPr>
            <w:r>
              <w:rPr>
                <w:rFonts w:hint="eastAsia" w:ascii="黑体" w:hAnsi="黑体" w:eastAsia="黑体" w:cs="黑体"/>
                <w:bCs/>
                <w:color w:val="000000"/>
                <w:kern w:val="0"/>
                <w:szCs w:val="21"/>
                <w:lang w:eastAsia="zh-CN"/>
              </w:rPr>
              <w:t>分</w:t>
            </w:r>
          </w:p>
          <w:p>
            <w:pPr>
              <w:widowControl/>
              <w:jc w:val="center"/>
              <w:rPr>
                <w:rFonts w:hint="eastAsia" w:ascii="黑体" w:hAnsi="黑体" w:eastAsia="黑体" w:cs="黑体"/>
                <w:bCs/>
                <w:color w:val="000000"/>
                <w:kern w:val="0"/>
                <w:szCs w:val="21"/>
                <w:lang w:eastAsia="zh-CN"/>
              </w:rPr>
            </w:pPr>
            <w:r>
              <w:rPr>
                <w:rFonts w:hint="eastAsia" w:ascii="黑体" w:hAnsi="黑体" w:eastAsia="黑体" w:cs="黑体"/>
                <w:bCs/>
                <w:color w:val="000000"/>
                <w:kern w:val="0"/>
                <w:szCs w:val="21"/>
                <w:lang w:eastAsia="zh-CN"/>
              </w:rPr>
              <w:t>值</w:t>
            </w:r>
          </w:p>
        </w:tc>
        <w:tc>
          <w:tcPr>
            <w:tcW w:w="2235"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三级指标</w:t>
            </w:r>
          </w:p>
        </w:tc>
        <w:tc>
          <w:tcPr>
            <w:tcW w:w="675"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分值</w:t>
            </w:r>
          </w:p>
        </w:tc>
        <w:tc>
          <w:tcPr>
            <w:tcW w:w="3836"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1141"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决策　</w:t>
            </w:r>
          </w:p>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　</w:t>
            </w:r>
          </w:p>
          <w:p>
            <w:pPr>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15分</w:t>
            </w: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rPr>
              <w:t>　</w:t>
            </w: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项目立项　</w:t>
            </w:r>
          </w:p>
        </w:tc>
        <w:tc>
          <w:tcPr>
            <w:tcW w:w="66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立项依据充分性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jc w:val="left"/>
              <w:rPr>
                <w:rFonts w:hint="eastAsia" w:ascii="黑体" w:hAnsi="黑体" w:eastAsia="黑体" w:cs="黑体"/>
                <w:color w:val="000000"/>
                <w:kern w:val="0"/>
                <w:szCs w:val="21"/>
              </w:rPr>
            </w:pPr>
            <w:r>
              <w:rPr>
                <w:rFonts w:hint="eastAsia" w:ascii="黑体" w:hAnsi="黑体" w:eastAsia="黑体" w:cs="黑体"/>
                <w:color w:val="000000"/>
                <w:kern w:val="0"/>
                <w:szCs w:val="21"/>
              </w:rPr>
              <w:t>①项目立项符合国家法律法规和相关政策，得1</w:t>
            </w:r>
            <w:r>
              <w:rPr>
                <w:rFonts w:hint="eastAsia" w:ascii="黑体" w:hAnsi="黑体" w:eastAsia="黑体" w:cs="黑体"/>
                <w:color w:val="000000"/>
                <w:kern w:val="0"/>
                <w:szCs w:val="21"/>
                <w:lang w:val="en-US" w:eastAsia="zh-CN"/>
              </w:rPr>
              <w:t>.5</w:t>
            </w:r>
            <w:r>
              <w:rPr>
                <w:rFonts w:hint="eastAsia" w:ascii="黑体" w:hAnsi="黑体" w:eastAsia="黑体" w:cs="黑体"/>
                <w:color w:val="000000"/>
                <w:kern w:val="0"/>
                <w:szCs w:val="21"/>
              </w:rPr>
              <w:t>分，不符合不得分；</w:t>
            </w:r>
            <w:r>
              <w:rPr>
                <w:rFonts w:hint="eastAsia" w:ascii="黑体" w:hAnsi="黑体" w:eastAsia="黑体" w:cs="黑体"/>
                <w:color w:val="000000"/>
                <w:kern w:val="0"/>
                <w:szCs w:val="21"/>
              </w:rPr>
              <w:br w:type="textWrapping"/>
            </w:r>
            <w:r>
              <w:rPr>
                <w:rFonts w:hint="eastAsia" w:ascii="黑体" w:hAnsi="黑体" w:eastAsia="黑体" w:cs="黑体"/>
                <w:color w:val="000000"/>
                <w:kern w:val="0"/>
                <w:szCs w:val="21"/>
              </w:rPr>
              <w:t>②项目立项与部门职责范围相符，属于部门履职所需，得</w:t>
            </w:r>
            <w:r>
              <w:rPr>
                <w:rFonts w:hint="eastAsia" w:ascii="黑体" w:hAnsi="黑体" w:eastAsia="黑体" w:cs="黑体"/>
                <w:color w:val="000000"/>
                <w:kern w:val="0"/>
                <w:szCs w:val="21"/>
                <w:lang w:val="en-US" w:eastAsia="zh-CN"/>
              </w:rPr>
              <w:t>1</w:t>
            </w:r>
            <w:r>
              <w:rPr>
                <w:rFonts w:hint="eastAsia" w:ascii="黑体" w:hAnsi="黑体" w:eastAsia="黑体" w:cs="黑体"/>
                <w:color w:val="000000"/>
                <w:kern w:val="0"/>
                <w:szCs w:val="21"/>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立项程序规范性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jc w:val="left"/>
              <w:rPr>
                <w:rFonts w:hint="eastAsia" w:ascii="黑体" w:hAnsi="黑体" w:eastAsia="黑体" w:cs="黑体"/>
                <w:color w:val="000000"/>
                <w:kern w:val="0"/>
                <w:szCs w:val="21"/>
              </w:rPr>
            </w:pPr>
            <w:r>
              <w:rPr>
                <w:rFonts w:hint="eastAsia" w:ascii="黑体" w:hAnsi="黑体" w:eastAsia="黑体" w:cs="黑体"/>
                <w:color w:val="000000"/>
                <w:kern w:val="0"/>
                <w:szCs w:val="21"/>
              </w:rPr>
              <w:t>①项目按照规定的程序申请设立，得1.5分，不符合不得分；</w:t>
            </w:r>
          </w:p>
          <w:p>
            <w:pPr>
              <w:widowControl/>
              <w:spacing w:line="240" w:lineRule="exact"/>
              <w:jc w:val="left"/>
              <w:rPr>
                <w:rFonts w:hint="eastAsia" w:ascii="黑体" w:hAnsi="黑体" w:eastAsia="黑体" w:cs="黑体"/>
                <w:color w:val="000000"/>
                <w:kern w:val="0"/>
                <w:szCs w:val="21"/>
              </w:rPr>
            </w:pPr>
            <w:r>
              <w:rPr>
                <w:rFonts w:hint="eastAsia" w:ascii="黑体" w:hAnsi="黑体" w:eastAsia="黑体" w:cs="黑体"/>
                <w:color w:val="000000"/>
                <w:kern w:val="0"/>
                <w:szCs w:val="21"/>
              </w:rPr>
              <w:t>②审批文件、材料符合相关要求，得1分，不符合不得分。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0"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绩效目标　</w:t>
            </w:r>
          </w:p>
        </w:tc>
        <w:tc>
          <w:tcPr>
            <w:tcW w:w="66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绩效目标合理性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jc w:val="left"/>
              <w:rPr>
                <w:rFonts w:hint="eastAsia" w:ascii="黑体" w:hAnsi="黑体" w:eastAsia="黑体" w:cs="黑体"/>
                <w:color w:val="000000"/>
                <w:kern w:val="0"/>
                <w:szCs w:val="21"/>
              </w:rPr>
            </w:pPr>
            <w:r>
              <w:rPr>
                <w:rFonts w:hint="eastAsia" w:ascii="黑体" w:hAnsi="黑体" w:eastAsia="黑体" w:cs="黑体"/>
                <w:color w:val="000000"/>
                <w:kern w:val="0"/>
                <w:szCs w:val="21"/>
              </w:rPr>
              <w:t>①项目有绩效目标，得1.5分，不符合不得分；</w:t>
            </w:r>
          </w:p>
          <w:p>
            <w:pPr>
              <w:widowControl/>
              <w:spacing w:line="240" w:lineRule="exact"/>
              <w:jc w:val="left"/>
              <w:rPr>
                <w:rFonts w:hint="eastAsia" w:ascii="黑体" w:hAnsi="黑体" w:eastAsia="黑体" w:cs="黑体"/>
                <w:color w:val="000000"/>
                <w:kern w:val="0"/>
                <w:szCs w:val="21"/>
              </w:rPr>
            </w:pPr>
            <w:r>
              <w:rPr>
                <w:rFonts w:hint="eastAsia" w:ascii="黑体" w:hAnsi="黑体" w:eastAsia="黑体" w:cs="黑体"/>
                <w:color w:val="000000"/>
                <w:kern w:val="0"/>
                <w:szCs w:val="21"/>
              </w:rPr>
              <w:t>②项目绩效目标与实际工作内容具有相关性，得1分，不符合不得分。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绩效指标明确性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rPr>
              <w:br w:type="textWrapping"/>
            </w: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①将项目绩效目标细化分解为具体的绩效指标，得1.5分，不符合不得分；</w:t>
            </w:r>
          </w:p>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②与项目目标任务数或计划数相对应，得1分，不符合不得分。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资金投入　</w:t>
            </w:r>
          </w:p>
        </w:tc>
        <w:tc>
          <w:tcPr>
            <w:tcW w:w="66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预算编制科学性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①预算内容与项目内容匹配，得1.5分，不符合不得分；</w:t>
            </w:r>
          </w:p>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②预算确定的项目投资额或资金量与工作任务相匹配，得1分，不符合不得分。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5"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资金分配合理性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①预算资金分配依据充分，得1.5分，不符合不得分；</w:t>
            </w:r>
          </w:p>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②资金分配额度合理，得1分，不符合不得分。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0" w:hRule="atLeast"/>
          <w:jc w:val="center"/>
        </w:trPr>
        <w:tc>
          <w:tcPr>
            <w:tcW w:w="1141" w:type="dxa"/>
            <w:vMerge w:val="restart"/>
            <w:shd w:val="clear" w:color="auto" w:fill="auto"/>
            <w:noWrap w:val="0"/>
            <w:vAlign w:val="center"/>
          </w:tcPr>
          <w:p>
            <w:pPr>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过程</w:t>
            </w:r>
          </w:p>
          <w:p>
            <w:pPr>
              <w:spacing w:line="240" w:lineRule="exact"/>
              <w:jc w:val="center"/>
              <w:rPr>
                <w:rFonts w:hint="eastAsia" w:ascii="黑体" w:hAnsi="黑体" w:eastAsia="黑体" w:cs="黑体"/>
                <w:color w:val="000000"/>
                <w:kern w:val="0"/>
                <w:szCs w:val="21"/>
                <w:lang w:eastAsia="zh-CN"/>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15分</w:t>
            </w:r>
            <w:r>
              <w:rPr>
                <w:rFonts w:hint="eastAsia" w:ascii="黑体" w:hAnsi="黑体" w:eastAsia="黑体" w:cs="黑体"/>
                <w:color w:val="000000"/>
                <w:kern w:val="0"/>
                <w:szCs w:val="21"/>
                <w:lang w:eastAsia="zh-CN"/>
              </w:rPr>
              <w:t>）</w:t>
            </w:r>
          </w:p>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　　</w:t>
            </w: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资金管理</w:t>
            </w:r>
          </w:p>
        </w:tc>
        <w:tc>
          <w:tcPr>
            <w:tcW w:w="660" w:type="dxa"/>
            <w:vMerge w:val="restart"/>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10</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资金到位率</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资金到位率=（实际到位资金/预算资金）×100%。90%-100%得2.5分；80%-89%得1分；60%-79%得0.5分；60%以下，不得分。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0"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预算执行率</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预算执行率=（实际支出资金/实际到位资金）×100%。90%-100%得2.5分；80%-89%得1分；60%-79%得0.5分；60%以下，不得分。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4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资金使用合规性</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①符合国家财经法规和财务管理制度以及有关专项资金管理办法的规定，得2.5分，不符合不得分；</w:t>
            </w:r>
          </w:p>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②资金的拨付有完整的审批程序和手续，得2.5分，不符合不得分。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0"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组织实施　</w:t>
            </w:r>
          </w:p>
        </w:tc>
        <w:tc>
          <w:tcPr>
            <w:tcW w:w="66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管理制度健全性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①已制定或具有相应的财务和业务管理制度，得1.5分，不符合不得分；</w:t>
            </w:r>
          </w:p>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②财务和业务管理制度合法、合规、完整，得1分，不符合不得分。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5"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制度执行有效性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遵守相关法律法规和相关管理规定，得2.5分，不完善得1分，未建立得0分。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4" w:hRule="atLeast"/>
          <w:jc w:val="center"/>
        </w:trPr>
        <w:tc>
          <w:tcPr>
            <w:tcW w:w="1141"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w:t>
            </w:r>
          </w:p>
          <w:p>
            <w:pPr>
              <w:widowControl/>
              <w:spacing w:line="240" w:lineRule="exact"/>
              <w:jc w:val="center"/>
              <w:rPr>
                <w:rFonts w:hint="eastAsia" w:ascii="黑体" w:hAnsi="黑体" w:eastAsia="黑体" w:cs="黑体"/>
                <w:color w:val="000000"/>
                <w:kern w:val="0"/>
                <w:szCs w:val="21"/>
                <w:lang w:eastAsia="zh-CN"/>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35分</w:t>
            </w:r>
            <w:r>
              <w:rPr>
                <w:rFonts w:hint="eastAsia" w:ascii="黑体" w:hAnsi="黑体" w:eastAsia="黑体" w:cs="黑体"/>
                <w:color w:val="000000"/>
                <w:kern w:val="0"/>
                <w:szCs w:val="21"/>
                <w:lang w:eastAsia="zh-CN"/>
              </w:rPr>
              <w:t>）</w:t>
            </w: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产出数量</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全年联合县区燃气管理部门开展执法10次</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c>
          <w:tcPr>
            <w:tcW w:w="3836" w:type="dxa"/>
            <w:shd w:val="clear" w:color="auto" w:fill="auto"/>
            <w:noWrap w:val="0"/>
            <w:vAlign w:val="center"/>
          </w:tcPr>
          <w:p>
            <w:pPr>
              <w:widowControl/>
              <w:spacing w:line="240" w:lineRule="exact"/>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全年联合县区燃气管理部门开展执法达到10次得3分，少1次，扣0.5分，扣完为止。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4"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lang w:eastAsia="zh-CN"/>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全年开展管道燃气企业执法检查12次</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全年开展管道燃气企业执法检查达到12次得3分，少1次，扣0.5分，扣完为止。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4"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lang w:eastAsia="zh-CN"/>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4</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考核县、区燃气执法落实情况12次</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4</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考核县、区燃气执法落实情况达到12次得4分，少1次，扣0.5分，扣完为止。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产出质量</w:t>
            </w:r>
          </w:p>
        </w:tc>
        <w:tc>
          <w:tcPr>
            <w:tcW w:w="660"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考核标准合格率</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考核标准合格率达到95-100%得</w:t>
            </w:r>
            <w:r>
              <w:rPr>
                <w:rFonts w:hint="eastAsia" w:ascii="黑体" w:hAnsi="黑体" w:eastAsia="黑体" w:cs="黑体"/>
                <w:color w:val="000000"/>
                <w:kern w:val="0"/>
                <w:szCs w:val="21"/>
                <w:lang w:val="en-US" w:eastAsia="zh-CN"/>
              </w:rPr>
              <w:t>5</w:t>
            </w:r>
            <w:r>
              <w:rPr>
                <w:rFonts w:hint="eastAsia" w:ascii="黑体" w:hAnsi="黑体" w:eastAsia="黑体" w:cs="黑体"/>
                <w:color w:val="000000"/>
                <w:kern w:val="0"/>
                <w:szCs w:val="21"/>
              </w:rPr>
              <w:t>分，达到80%-94%得</w:t>
            </w:r>
            <w:r>
              <w:rPr>
                <w:rFonts w:hint="eastAsia" w:ascii="黑体" w:hAnsi="黑体" w:eastAsia="黑体" w:cs="黑体"/>
                <w:color w:val="000000"/>
                <w:kern w:val="0"/>
                <w:szCs w:val="21"/>
                <w:lang w:val="en-US" w:eastAsia="zh-CN"/>
              </w:rPr>
              <w:t>3</w:t>
            </w:r>
            <w:r>
              <w:rPr>
                <w:rFonts w:hint="eastAsia" w:ascii="黑体" w:hAnsi="黑体" w:eastAsia="黑体" w:cs="黑体"/>
                <w:color w:val="000000"/>
                <w:kern w:val="0"/>
                <w:szCs w:val="21"/>
              </w:rPr>
              <w:t>分；达到60%-79%得1分；达到60%以下，不得分。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执法检查合格率</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执法检查合格率达到95-100%得</w:t>
            </w:r>
            <w:r>
              <w:rPr>
                <w:rFonts w:hint="eastAsia" w:ascii="黑体" w:hAnsi="黑体" w:eastAsia="黑体" w:cs="黑体"/>
                <w:color w:val="000000"/>
                <w:kern w:val="0"/>
                <w:szCs w:val="21"/>
                <w:lang w:val="en-US" w:eastAsia="zh-CN"/>
              </w:rPr>
              <w:t>5</w:t>
            </w:r>
            <w:r>
              <w:rPr>
                <w:rFonts w:hint="eastAsia" w:ascii="黑体" w:hAnsi="黑体" w:eastAsia="黑体" w:cs="黑体"/>
                <w:color w:val="000000"/>
                <w:kern w:val="0"/>
                <w:szCs w:val="21"/>
              </w:rPr>
              <w:t>分，达到80%-94%得</w:t>
            </w:r>
            <w:r>
              <w:rPr>
                <w:rFonts w:hint="eastAsia" w:ascii="黑体" w:hAnsi="黑体" w:eastAsia="黑体" w:cs="黑体"/>
                <w:color w:val="000000"/>
                <w:kern w:val="0"/>
                <w:szCs w:val="21"/>
                <w:lang w:val="en-US" w:eastAsia="zh-CN"/>
              </w:rPr>
              <w:t>3</w:t>
            </w:r>
            <w:r>
              <w:rPr>
                <w:rFonts w:hint="eastAsia" w:ascii="黑体" w:hAnsi="黑体" w:eastAsia="黑体" w:cs="黑体"/>
                <w:color w:val="000000"/>
                <w:kern w:val="0"/>
                <w:szCs w:val="21"/>
              </w:rPr>
              <w:t>分；达到60%-79%得1分；达到60%以下，不得分。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restart"/>
            <w:shd w:val="clear" w:color="auto" w:fill="auto"/>
            <w:noWrap w:val="0"/>
            <w:vAlign w:val="center"/>
          </w:tcPr>
          <w:p>
            <w:pPr>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产出时效</w:t>
            </w:r>
          </w:p>
        </w:tc>
        <w:tc>
          <w:tcPr>
            <w:tcW w:w="660" w:type="dxa"/>
            <w:shd w:val="clear" w:color="auto" w:fill="auto"/>
            <w:noWrap w:val="0"/>
            <w:vAlign w:val="center"/>
          </w:tcPr>
          <w:p>
            <w:pPr>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燃气执法检查及时率</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燃气执法检查及时率达到95-100%得</w:t>
            </w:r>
            <w:r>
              <w:rPr>
                <w:rFonts w:hint="eastAsia" w:ascii="黑体" w:hAnsi="黑体" w:eastAsia="黑体" w:cs="黑体"/>
                <w:color w:val="000000"/>
                <w:kern w:val="0"/>
                <w:szCs w:val="21"/>
                <w:lang w:val="en-US" w:eastAsia="zh-CN"/>
              </w:rPr>
              <w:t>5</w:t>
            </w:r>
            <w:r>
              <w:rPr>
                <w:rFonts w:hint="eastAsia" w:ascii="黑体" w:hAnsi="黑体" w:eastAsia="黑体" w:cs="黑体"/>
                <w:color w:val="000000"/>
                <w:kern w:val="0"/>
                <w:szCs w:val="21"/>
              </w:rPr>
              <w:t>分，达到80%-94%得</w:t>
            </w:r>
            <w:r>
              <w:rPr>
                <w:rFonts w:hint="eastAsia" w:ascii="黑体" w:hAnsi="黑体" w:eastAsia="黑体" w:cs="黑体"/>
                <w:color w:val="000000"/>
                <w:kern w:val="0"/>
                <w:szCs w:val="21"/>
                <w:lang w:val="en-US" w:eastAsia="zh-CN"/>
              </w:rPr>
              <w:t>3</w:t>
            </w:r>
            <w:r>
              <w:rPr>
                <w:rFonts w:hint="eastAsia" w:ascii="黑体" w:hAnsi="黑体" w:eastAsia="黑体" w:cs="黑体"/>
                <w:color w:val="000000"/>
                <w:kern w:val="0"/>
                <w:szCs w:val="21"/>
              </w:rPr>
              <w:t>分；达到60%-79%得</w:t>
            </w:r>
            <w:r>
              <w:rPr>
                <w:rFonts w:hint="eastAsia" w:ascii="黑体" w:hAnsi="黑体" w:eastAsia="黑体" w:cs="黑体"/>
                <w:color w:val="000000"/>
                <w:kern w:val="0"/>
                <w:szCs w:val="21"/>
                <w:lang w:val="en-US" w:eastAsia="zh-CN"/>
              </w:rPr>
              <w:t>1</w:t>
            </w:r>
            <w:r>
              <w:rPr>
                <w:rFonts w:hint="eastAsia" w:ascii="黑体" w:hAnsi="黑体" w:eastAsia="黑体" w:cs="黑体"/>
                <w:color w:val="000000"/>
                <w:kern w:val="0"/>
                <w:szCs w:val="21"/>
              </w:rPr>
              <w:t>分；达到60%以下，不得分。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660" w:type="dxa"/>
            <w:shd w:val="clear" w:color="auto" w:fill="auto"/>
            <w:noWrap w:val="0"/>
            <w:vAlign w:val="center"/>
          </w:tcPr>
          <w:p>
            <w:pPr>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县区执法考核及时率</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县区执法考核及时率达到95-100%得</w:t>
            </w:r>
            <w:r>
              <w:rPr>
                <w:rFonts w:hint="eastAsia" w:ascii="黑体" w:hAnsi="黑体" w:eastAsia="黑体" w:cs="黑体"/>
                <w:color w:val="000000"/>
                <w:kern w:val="0"/>
                <w:szCs w:val="21"/>
                <w:lang w:val="en-US" w:eastAsia="zh-CN"/>
              </w:rPr>
              <w:t>5</w:t>
            </w:r>
            <w:r>
              <w:rPr>
                <w:rFonts w:hint="eastAsia" w:ascii="黑体" w:hAnsi="黑体" w:eastAsia="黑体" w:cs="黑体"/>
                <w:color w:val="000000"/>
                <w:kern w:val="0"/>
                <w:szCs w:val="21"/>
              </w:rPr>
              <w:t>分，达到80%-94%得</w:t>
            </w:r>
            <w:r>
              <w:rPr>
                <w:rFonts w:hint="eastAsia" w:ascii="黑体" w:hAnsi="黑体" w:eastAsia="黑体" w:cs="黑体"/>
                <w:color w:val="000000"/>
                <w:kern w:val="0"/>
                <w:szCs w:val="21"/>
                <w:lang w:val="en-US" w:eastAsia="zh-CN"/>
              </w:rPr>
              <w:t>3</w:t>
            </w:r>
            <w:r>
              <w:rPr>
                <w:rFonts w:hint="eastAsia" w:ascii="黑体" w:hAnsi="黑体" w:eastAsia="黑体" w:cs="黑体"/>
                <w:color w:val="000000"/>
                <w:kern w:val="0"/>
                <w:szCs w:val="21"/>
              </w:rPr>
              <w:t>分；达到60%-79%得</w:t>
            </w:r>
            <w:r>
              <w:rPr>
                <w:rFonts w:hint="eastAsia" w:ascii="黑体" w:hAnsi="黑体" w:eastAsia="黑体" w:cs="黑体"/>
                <w:color w:val="000000"/>
                <w:kern w:val="0"/>
                <w:szCs w:val="21"/>
                <w:lang w:val="en-US" w:eastAsia="zh-CN"/>
              </w:rPr>
              <w:t>1</w:t>
            </w:r>
            <w:r>
              <w:rPr>
                <w:rFonts w:hint="eastAsia" w:ascii="黑体" w:hAnsi="黑体" w:eastAsia="黑体" w:cs="黑体"/>
                <w:color w:val="000000"/>
                <w:kern w:val="0"/>
                <w:szCs w:val="21"/>
              </w:rPr>
              <w:t>分；达到60%以下，不得分。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9"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产出成本</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成本控制率</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成本控制率小于</w:t>
            </w:r>
            <w:r>
              <w:rPr>
                <w:rFonts w:hint="eastAsia" w:ascii="黑体" w:hAnsi="黑体" w:eastAsia="黑体" w:cs="黑体"/>
                <w:color w:val="000000"/>
                <w:kern w:val="0"/>
                <w:szCs w:val="21"/>
              </w:rPr>
              <w:t>100%得</w:t>
            </w:r>
            <w:r>
              <w:rPr>
                <w:rFonts w:hint="eastAsia" w:ascii="黑体" w:hAnsi="黑体" w:eastAsia="黑体" w:cs="黑体"/>
                <w:color w:val="000000"/>
                <w:kern w:val="0"/>
                <w:szCs w:val="21"/>
                <w:lang w:val="en-US" w:eastAsia="zh-CN"/>
              </w:rPr>
              <w:t>5</w:t>
            </w:r>
            <w:r>
              <w:rPr>
                <w:rFonts w:hint="eastAsia" w:ascii="黑体" w:hAnsi="黑体" w:eastAsia="黑体" w:cs="黑体"/>
                <w:color w:val="000000"/>
                <w:kern w:val="0"/>
                <w:szCs w:val="21"/>
              </w:rPr>
              <w:t>分，</w:t>
            </w:r>
            <w:r>
              <w:rPr>
                <w:rFonts w:hint="eastAsia" w:ascii="黑体" w:hAnsi="黑体" w:eastAsia="黑体" w:cs="黑体"/>
                <w:color w:val="000000"/>
                <w:kern w:val="0"/>
                <w:szCs w:val="21"/>
                <w:lang w:val="en-US" w:eastAsia="zh-CN"/>
              </w:rPr>
              <w:t>大于100%</w:t>
            </w:r>
            <w:r>
              <w:rPr>
                <w:rFonts w:hint="eastAsia" w:ascii="黑体" w:hAnsi="黑体" w:eastAsia="黑体" w:cs="黑体"/>
                <w:color w:val="000000"/>
                <w:kern w:val="0"/>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jc w:val="center"/>
        </w:trPr>
        <w:tc>
          <w:tcPr>
            <w:tcW w:w="1141"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效益</w:t>
            </w:r>
          </w:p>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25分</w:t>
            </w: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rPr>
              <w:t>　</w:t>
            </w:r>
          </w:p>
        </w:tc>
        <w:tc>
          <w:tcPr>
            <w:tcW w:w="1200"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经济效益　</w:t>
            </w:r>
          </w:p>
        </w:tc>
        <w:tc>
          <w:tcPr>
            <w:tcW w:w="660"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0</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无</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无</w:t>
            </w:r>
          </w:p>
        </w:tc>
        <w:tc>
          <w:tcPr>
            <w:tcW w:w="3836"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社会效益</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减少燃气事故发生率2%</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c>
          <w:tcPr>
            <w:tcW w:w="3836" w:type="dxa"/>
            <w:shd w:val="clear" w:color="auto" w:fill="auto"/>
            <w:noWrap w:val="0"/>
            <w:vAlign w:val="center"/>
          </w:tcPr>
          <w:p>
            <w:pPr>
              <w:widowControl/>
              <w:spacing w:line="240" w:lineRule="exact"/>
              <w:jc w:val="left"/>
              <w:rPr>
                <w:rFonts w:hint="eastAsia" w:ascii="黑体" w:hAnsi="黑体" w:eastAsia="黑体" w:cs="黑体"/>
                <w:color w:val="000000"/>
                <w:kern w:val="0"/>
                <w:szCs w:val="21"/>
              </w:rPr>
            </w:pPr>
            <w:r>
              <w:rPr>
                <w:rFonts w:hint="eastAsia" w:ascii="黑体" w:hAnsi="黑体" w:eastAsia="黑体" w:cs="黑体"/>
                <w:color w:val="000000"/>
                <w:kern w:val="0"/>
                <w:szCs w:val="21"/>
              </w:rPr>
              <w:t>减少燃气事故发生率达到</w:t>
            </w:r>
            <w:r>
              <w:rPr>
                <w:rFonts w:hint="eastAsia" w:ascii="黑体" w:hAnsi="黑体" w:eastAsia="黑体" w:cs="黑体"/>
                <w:color w:val="000000"/>
                <w:kern w:val="0"/>
                <w:szCs w:val="21"/>
                <w:lang w:val="en-US" w:eastAsia="zh-CN"/>
              </w:rPr>
              <w:t>高于2</w:t>
            </w:r>
            <w:r>
              <w:rPr>
                <w:rFonts w:hint="eastAsia" w:ascii="黑体" w:hAnsi="黑体" w:eastAsia="黑体" w:cs="黑体"/>
                <w:color w:val="000000"/>
                <w:kern w:val="0"/>
                <w:szCs w:val="21"/>
              </w:rPr>
              <w:t>%得</w:t>
            </w:r>
            <w:r>
              <w:rPr>
                <w:rFonts w:hint="eastAsia" w:ascii="黑体" w:hAnsi="黑体" w:eastAsia="黑体" w:cs="黑体"/>
                <w:color w:val="000000"/>
                <w:kern w:val="0"/>
                <w:szCs w:val="21"/>
                <w:lang w:val="en-US" w:eastAsia="zh-CN"/>
              </w:rPr>
              <w:t>12.5</w:t>
            </w:r>
            <w:r>
              <w:rPr>
                <w:rFonts w:hint="eastAsia" w:ascii="黑体" w:hAnsi="黑体" w:eastAsia="黑体" w:cs="黑体"/>
                <w:color w:val="000000"/>
                <w:kern w:val="0"/>
                <w:szCs w:val="21"/>
              </w:rPr>
              <w:t>分；</w:t>
            </w:r>
            <w:r>
              <w:rPr>
                <w:rFonts w:hint="eastAsia" w:ascii="黑体" w:hAnsi="黑体" w:eastAsia="黑体" w:cs="黑体"/>
                <w:color w:val="000000"/>
                <w:kern w:val="0"/>
                <w:szCs w:val="21"/>
                <w:lang w:val="en-US" w:eastAsia="zh-CN"/>
              </w:rPr>
              <w:t>低于2%</w:t>
            </w:r>
            <w:r>
              <w:rPr>
                <w:rFonts w:hint="eastAsia" w:ascii="黑体" w:hAnsi="黑体" w:eastAsia="黑体" w:cs="黑体"/>
                <w:color w:val="000000"/>
                <w:kern w:val="0"/>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生态效益</w:t>
            </w:r>
          </w:p>
        </w:tc>
        <w:tc>
          <w:tcPr>
            <w:tcW w:w="660"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0</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无</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无</w:t>
            </w:r>
          </w:p>
        </w:tc>
        <w:tc>
          <w:tcPr>
            <w:tcW w:w="3836"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可持续效益</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执法制度健全性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执法制度健全性达到95%-100%得</w:t>
            </w:r>
            <w:r>
              <w:rPr>
                <w:rFonts w:hint="eastAsia" w:ascii="黑体" w:hAnsi="黑体" w:eastAsia="黑体" w:cs="黑体"/>
                <w:color w:val="000000"/>
                <w:kern w:val="0"/>
                <w:szCs w:val="21"/>
                <w:lang w:val="en-US" w:eastAsia="zh-CN"/>
              </w:rPr>
              <w:t>12.5</w:t>
            </w:r>
            <w:r>
              <w:rPr>
                <w:rFonts w:hint="eastAsia" w:ascii="黑体" w:hAnsi="黑体" w:eastAsia="黑体" w:cs="黑体"/>
                <w:color w:val="000000"/>
                <w:kern w:val="0"/>
                <w:szCs w:val="21"/>
              </w:rPr>
              <w:t>分；80%-94%得</w:t>
            </w:r>
            <w:r>
              <w:rPr>
                <w:rFonts w:hint="eastAsia" w:ascii="黑体" w:hAnsi="黑体" w:eastAsia="黑体" w:cs="黑体"/>
                <w:color w:val="000000"/>
                <w:kern w:val="0"/>
                <w:szCs w:val="21"/>
                <w:lang w:val="en-US" w:eastAsia="zh-CN"/>
              </w:rPr>
              <w:t>7.5</w:t>
            </w:r>
            <w:r>
              <w:rPr>
                <w:rFonts w:hint="eastAsia" w:ascii="黑体" w:hAnsi="黑体" w:eastAsia="黑体" w:cs="黑体"/>
                <w:color w:val="000000"/>
                <w:kern w:val="0"/>
                <w:szCs w:val="21"/>
              </w:rPr>
              <w:t>分；60%-79%得</w:t>
            </w:r>
            <w:r>
              <w:rPr>
                <w:rFonts w:hint="eastAsia" w:ascii="黑体" w:hAnsi="黑体" w:eastAsia="黑体" w:cs="黑体"/>
                <w:color w:val="000000"/>
                <w:kern w:val="0"/>
                <w:szCs w:val="21"/>
                <w:lang w:val="en-US" w:eastAsia="zh-CN"/>
              </w:rPr>
              <w:t>2.5</w:t>
            </w:r>
            <w:r>
              <w:rPr>
                <w:rFonts w:hint="eastAsia" w:ascii="黑体" w:hAnsi="黑体" w:eastAsia="黑体" w:cs="黑体"/>
                <w:color w:val="000000"/>
                <w:kern w:val="0"/>
                <w:szCs w:val="21"/>
              </w:rPr>
              <w:t>分；60%以下，不得分。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9" w:hRule="atLeast"/>
          <w:jc w:val="center"/>
        </w:trPr>
        <w:tc>
          <w:tcPr>
            <w:tcW w:w="1141"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满意度</w:t>
            </w:r>
          </w:p>
          <w:p>
            <w:pPr>
              <w:widowControl/>
              <w:spacing w:line="240" w:lineRule="exact"/>
              <w:jc w:val="center"/>
              <w:rPr>
                <w:rFonts w:hint="eastAsia" w:ascii="黑体" w:hAnsi="黑体" w:eastAsia="黑体" w:cs="黑体"/>
                <w:color w:val="000000"/>
                <w:kern w:val="0"/>
                <w:szCs w:val="21"/>
                <w:lang w:eastAsia="zh-CN"/>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10分</w:t>
            </w:r>
            <w:r>
              <w:rPr>
                <w:rFonts w:hint="eastAsia" w:ascii="黑体" w:hAnsi="黑体" w:eastAsia="黑体" w:cs="黑体"/>
                <w:color w:val="000000"/>
                <w:kern w:val="0"/>
                <w:szCs w:val="21"/>
                <w:lang w:eastAsia="zh-CN"/>
              </w:rPr>
              <w:t>）</w:t>
            </w:r>
          </w:p>
        </w:tc>
        <w:tc>
          <w:tcPr>
            <w:tcW w:w="1200"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社会公众或服务对象满意度</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10</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社会群众满意率</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10</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对社会群众满意度调查， 95%-100%得10分；每下降5%扣</w:t>
            </w:r>
            <w:r>
              <w:rPr>
                <w:rFonts w:hint="eastAsia" w:ascii="黑体" w:hAnsi="黑体" w:eastAsia="黑体" w:cs="黑体"/>
                <w:color w:val="000000"/>
                <w:kern w:val="0"/>
                <w:szCs w:val="21"/>
                <w:lang w:val="en-US" w:eastAsia="zh-CN"/>
              </w:rPr>
              <w:t>2</w:t>
            </w:r>
            <w:r>
              <w:rPr>
                <w:rFonts w:hint="eastAsia" w:ascii="黑体" w:hAnsi="黑体" w:eastAsia="黑体" w:cs="黑体"/>
                <w:color w:val="000000"/>
                <w:kern w:val="0"/>
                <w:szCs w:val="21"/>
              </w:rPr>
              <w:t>分，经调查，满意度为</w:t>
            </w:r>
            <w:r>
              <w:rPr>
                <w:rFonts w:hint="eastAsia" w:ascii="黑体" w:hAnsi="黑体" w:eastAsia="黑体" w:cs="黑体"/>
                <w:color w:val="000000"/>
                <w:kern w:val="0"/>
                <w:szCs w:val="21"/>
                <w:lang w:val="en-US" w:eastAsia="zh-CN"/>
              </w:rPr>
              <w:t>90</w:t>
            </w:r>
            <w:r>
              <w:rPr>
                <w:rFonts w:hint="eastAsia" w:ascii="黑体" w:hAnsi="黑体" w:eastAsia="黑体" w:cs="黑体"/>
                <w:color w:val="000000"/>
                <w:kern w:val="0"/>
                <w:szCs w:val="21"/>
              </w:rPr>
              <w:t>%。</w:t>
            </w:r>
          </w:p>
        </w:tc>
      </w:tr>
    </w:tbl>
    <w:p>
      <w:pPr>
        <w:keepNext w:val="0"/>
        <w:keepLines w:val="0"/>
        <w:pageBreakBefore w:val="0"/>
        <w:widowControl w:val="0"/>
        <w:kinsoku/>
        <w:wordWrap/>
        <w:overflowPunct/>
        <w:topLinePunct w:val="0"/>
        <w:autoSpaceDE/>
        <w:autoSpaceDN/>
        <w:bidi w:val="0"/>
        <w:adjustRightInd/>
        <w:snapToGrid w:val="0"/>
        <w:spacing w:line="600" w:lineRule="exact"/>
        <w:ind w:left="0" w:firstLine="560" w:firstLineChars="200"/>
        <w:textAlignment w:val="auto"/>
        <w:rPr>
          <w:rFonts w:hint="eastAsia" w:ascii="黑体" w:eastAsia="黑体"/>
          <w:sz w:val="28"/>
          <w:szCs w:val="28"/>
        </w:rPr>
      </w:pPr>
      <w:r>
        <w:rPr>
          <w:rFonts w:hint="eastAsia" w:ascii="黑体" w:eastAsia="黑体"/>
          <w:sz w:val="28"/>
          <w:szCs w:val="28"/>
        </w:rPr>
        <w:t>3、评价方法</w:t>
      </w:r>
    </w:p>
    <w:p>
      <w:pPr>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组织相关人员对202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年度项目绩效进行自我评价。根据省、市相关政策制度，采用问卷调查、座谈等形式，收集相关信息资料，对各项指标进行逐项逐条审核，形成</w:t>
      </w:r>
      <w:r>
        <w:rPr>
          <w:rFonts w:hint="eastAsia" w:ascii="仿宋" w:hAnsi="仿宋" w:eastAsia="仿宋" w:cs="仿宋_GB2312"/>
          <w:sz w:val="32"/>
          <w:szCs w:val="32"/>
          <w:lang w:eastAsia="zh-CN"/>
        </w:rPr>
        <w:t>南昌市排水事务中心（原市燃气管理处）</w:t>
      </w:r>
      <w:r>
        <w:rPr>
          <w:rFonts w:hint="eastAsia" w:ascii="仿宋" w:hAnsi="仿宋" w:eastAsia="仿宋" w:cs="仿宋_GB2312"/>
          <w:sz w:val="32"/>
          <w:szCs w:val="32"/>
        </w:rPr>
        <w:t>项目支出绩效评价报告。</w:t>
      </w:r>
    </w:p>
    <w:p>
      <w:pPr>
        <w:keepNext w:val="0"/>
        <w:keepLines w:val="0"/>
        <w:pageBreakBefore w:val="0"/>
        <w:widowControl w:val="0"/>
        <w:kinsoku/>
        <w:wordWrap/>
        <w:overflowPunct/>
        <w:topLinePunct w:val="0"/>
        <w:autoSpaceDE/>
        <w:autoSpaceDN/>
        <w:bidi w:val="0"/>
        <w:adjustRightInd/>
        <w:snapToGrid w:val="0"/>
        <w:spacing w:line="600" w:lineRule="exact"/>
        <w:ind w:left="0" w:firstLine="560" w:firstLineChars="200"/>
        <w:textAlignment w:val="auto"/>
        <w:rPr>
          <w:rFonts w:hint="eastAsia" w:ascii="黑体" w:eastAsia="黑体"/>
          <w:sz w:val="28"/>
          <w:szCs w:val="28"/>
        </w:rPr>
      </w:pPr>
      <w:r>
        <w:rPr>
          <w:rFonts w:hint="eastAsia" w:ascii="黑体" w:eastAsia="黑体"/>
          <w:sz w:val="28"/>
          <w:szCs w:val="28"/>
        </w:rPr>
        <w:t>4、评价标准</w:t>
      </w:r>
    </w:p>
    <w:p>
      <w:pPr>
        <w:spacing w:line="600" w:lineRule="exact"/>
        <w:ind w:firstLine="640" w:firstLineChars="200"/>
        <w:rPr>
          <w:rFonts w:hint="eastAsia" w:ascii="楷体_GB2312" w:hAnsi="楷体_GB2312" w:eastAsia="楷体_GB2312" w:cs="楷体_GB2312"/>
          <w:b/>
          <w:bCs w:val="0"/>
          <w:color w:val="000000"/>
          <w:sz w:val="32"/>
          <w:szCs w:val="32"/>
        </w:rPr>
      </w:pPr>
      <w:r>
        <w:rPr>
          <w:rFonts w:hint="eastAsia" w:ascii="仿宋" w:hAnsi="仿宋" w:eastAsia="仿宋" w:cs="仿宋_GB2312"/>
          <w:sz w:val="32"/>
          <w:szCs w:val="32"/>
        </w:rPr>
        <w:t>项目按照项目决</w:t>
      </w:r>
      <w:r>
        <w:rPr>
          <w:rFonts w:ascii="仿宋" w:hAnsi="仿宋" w:eastAsia="仿宋" w:cs="仿宋_GB2312"/>
          <w:sz w:val="32"/>
          <w:szCs w:val="32"/>
        </w:rPr>
        <w:t>策</w:t>
      </w:r>
      <w:r>
        <w:rPr>
          <w:rFonts w:hint="eastAsia" w:ascii="仿宋" w:hAnsi="仿宋" w:eastAsia="仿宋" w:cs="仿宋_GB2312"/>
          <w:sz w:val="32"/>
          <w:szCs w:val="32"/>
        </w:rPr>
        <w:t>指标、项目</w:t>
      </w:r>
      <w:r>
        <w:rPr>
          <w:rFonts w:ascii="仿宋" w:hAnsi="仿宋" w:eastAsia="仿宋" w:cs="仿宋_GB2312"/>
          <w:sz w:val="32"/>
          <w:szCs w:val="32"/>
        </w:rPr>
        <w:t>过程指标、</w:t>
      </w:r>
      <w:r>
        <w:rPr>
          <w:rFonts w:hint="eastAsia" w:ascii="仿宋" w:hAnsi="仿宋" w:eastAsia="仿宋" w:cs="仿宋_GB2312"/>
          <w:sz w:val="32"/>
          <w:szCs w:val="32"/>
        </w:rPr>
        <w:t>项目产出指标、项目效益指标、项目满意度指标五项一级指标分别下设相应的二级和三级指标进行绩效评价。评分分为优秀、良好、中等和差四个等次。满分100分，分数在90分(含90分)以上评优秀;分数在80(含80分) -90之间评良好;分数在60(含60分) -80分为中，60分以下评差。</w:t>
      </w:r>
    </w:p>
    <w:p>
      <w:pPr>
        <w:spacing w:line="600" w:lineRule="exact"/>
        <w:ind w:firstLine="643" w:firstLineChars="200"/>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（三）绩效评价工作过程</w:t>
      </w:r>
    </w:p>
    <w:p>
      <w:pPr>
        <w:spacing w:line="600" w:lineRule="exact"/>
        <w:ind w:firstLine="640" w:firstLineChars="200"/>
        <w:rPr>
          <w:rFonts w:hint="eastAsia" w:ascii="黑体" w:hAnsi="黑体" w:eastAsia="黑体"/>
          <w:color w:val="000000"/>
          <w:spacing w:val="4"/>
          <w:sz w:val="32"/>
          <w:szCs w:val="32"/>
        </w:rPr>
      </w:pPr>
      <w:r>
        <w:rPr>
          <w:rFonts w:hint="eastAsia" w:ascii="仿宋" w:hAnsi="仿宋" w:eastAsia="仿宋"/>
          <w:sz w:val="32"/>
          <w:szCs w:val="32"/>
        </w:rPr>
        <w:t>本项目绩效评价工作的过程，</w:t>
      </w:r>
      <w:r>
        <w:rPr>
          <w:rFonts w:hint="eastAsia" w:ascii="仿宋" w:hAnsi="仿宋" w:eastAsia="仿宋"/>
          <w:sz w:val="32"/>
          <w:szCs w:val="32"/>
          <w:lang w:eastAsia="zh-CN"/>
        </w:rPr>
        <w:t>南昌市排水事务中心（原市燃气管理处）</w:t>
      </w:r>
      <w:r>
        <w:rPr>
          <w:rFonts w:hint="eastAsia" w:ascii="仿宋" w:hAnsi="仿宋" w:eastAsia="仿宋"/>
          <w:sz w:val="32"/>
          <w:szCs w:val="32"/>
        </w:rPr>
        <w:t>一是加强组织领导，成立了以主要领导为组长的工作领导小组，制定了绩效评价工作方案，明确了工作要求及工作步骤；二是客观评价，按照要求合理设置评价指标，对照绩效指标，开展实际与计划的对比分析，实事求是地评价完成情况；三是明确责任，建立绩效评价工作责任制，将绩效评价工作责任明确到部门和相关责任人。</w:t>
      </w:r>
    </w:p>
    <w:p>
      <w:pPr>
        <w:spacing w:line="600" w:lineRule="exact"/>
        <w:ind w:firstLine="656" w:firstLineChars="200"/>
        <w:rPr>
          <w:rFonts w:hint="eastAsia" w:ascii="楷体_GB2312" w:eastAsia="楷体_GB2312"/>
          <w:b/>
          <w:color w:val="000000"/>
          <w:sz w:val="32"/>
          <w:szCs w:val="32"/>
        </w:rPr>
      </w:pPr>
      <w:r>
        <w:rPr>
          <w:rFonts w:hint="eastAsia" w:ascii="黑体" w:hAnsi="黑体" w:eastAsia="黑体"/>
          <w:color w:val="000000"/>
          <w:spacing w:val="4"/>
          <w:sz w:val="32"/>
          <w:szCs w:val="32"/>
        </w:rPr>
        <w:t>三、综合评价情况及评价结论</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ascii="仿宋" w:hAnsi="仿宋" w:eastAsia="仿宋"/>
          <w:sz w:val="32"/>
          <w:szCs w:val="32"/>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w:t>
      </w:r>
      <w:r>
        <w:rPr>
          <w:rFonts w:hint="eastAsia" w:ascii="仿宋" w:hAnsi="仿宋" w:eastAsia="仿宋" w:cs="仿宋_GB2312"/>
          <w:sz w:val="32"/>
          <w:szCs w:val="32"/>
          <w:lang w:eastAsia="zh-CN"/>
        </w:rPr>
        <w:t>南昌市排水事务中心（原市燃气管理处）</w:t>
      </w:r>
      <w:r>
        <w:rPr>
          <w:rFonts w:hint="eastAsia" w:ascii="仿宋" w:hAnsi="仿宋" w:eastAsia="仿宋" w:cs="仿宋_GB2312"/>
          <w:sz w:val="32"/>
          <w:szCs w:val="32"/>
        </w:rPr>
        <w:t>较好地完成了各项工作，</w:t>
      </w:r>
      <w:r>
        <w:rPr>
          <w:rFonts w:hint="eastAsia" w:ascii="仿宋" w:hAnsi="仿宋" w:eastAsia="仿宋"/>
          <w:sz w:val="32"/>
          <w:szCs w:val="32"/>
        </w:rPr>
        <w:t>充分发挥了</w:t>
      </w:r>
      <w:r>
        <w:rPr>
          <w:rFonts w:hint="eastAsia" w:ascii="仿宋" w:hAnsi="仿宋" w:eastAsia="仿宋"/>
          <w:sz w:val="32"/>
          <w:szCs w:val="32"/>
          <w:lang w:val="en-US" w:eastAsia="zh-CN"/>
        </w:rPr>
        <w:t>燃气</w:t>
      </w:r>
      <w:r>
        <w:rPr>
          <w:rFonts w:hint="eastAsia" w:ascii="仿宋" w:hAnsi="仿宋" w:eastAsia="仿宋" w:cs="仿宋_GB2312"/>
          <w:sz w:val="32"/>
          <w:szCs w:val="32"/>
          <w:lang w:eastAsia="zh-CN"/>
        </w:rPr>
        <w:t>执法</w:t>
      </w:r>
      <w:r>
        <w:rPr>
          <w:rFonts w:hint="eastAsia" w:ascii="仿宋" w:hAnsi="仿宋" w:eastAsia="仿宋"/>
          <w:sz w:val="32"/>
          <w:szCs w:val="32"/>
          <w:lang w:val="en-US" w:eastAsia="zh-CN"/>
        </w:rPr>
        <w:t>监管</w:t>
      </w:r>
      <w:r>
        <w:rPr>
          <w:rFonts w:hint="eastAsia" w:ascii="仿宋" w:hAnsi="仿宋" w:eastAsia="仿宋"/>
          <w:sz w:val="32"/>
          <w:szCs w:val="32"/>
        </w:rPr>
        <w:t>在社会体系中重要补充作用。</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eastAsia" w:ascii="仿宋" w:hAnsi="仿宋" w:eastAsia="仿宋"/>
          <w:sz w:val="32"/>
          <w:szCs w:val="32"/>
        </w:rPr>
      </w:pPr>
      <w:r>
        <w:rPr>
          <w:rFonts w:hint="eastAsia" w:ascii="仿宋" w:hAnsi="仿宋" w:eastAsia="仿宋"/>
          <w:sz w:val="32"/>
          <w:szCs w:val="32"/>
        </w:rPr>
        <w:t>根据部门整体支出绩效评价指标体系评分表，经认真逐条</w:t>
      </w:r>
      <w:r>
        <w:rPr>
          <w:rFonts w:hint="eastAsia" w:ascii="仿宋" w:hAnsi="仿宋" w:eastAsia="仿宋"/>
          <w:sz w:val="32"/>
          <w:szCs w:val="32"/>
          <w:lang w:eastAsia="zh-CN"/>
        </w:rPr>
        <w:t>评价</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cs="仿宋_GB2312"/>
          <w:sz w:val="32"/>
          <w:szCs w:val="32"/>
          <w:lang w:eastAsia="zh-CN"/>
        </w:rPr>
        <w:t>南昌市排水事务中心（原市燃气管理处）燃气执法监管</w:t>
      </w:r>
      <w:r>
        <w:rPr>
          <w:rFonts w:hint="eastAsia" w:ascii="仿宋" w:hAnsi="仿宋" w:eastAsia="仿宋"/>
          <w:sz w:val="32"/>
          <w:szCs w:val="32"/>
        </w:rPr>
        <w:t>项目支出绩效</w:t>
      </w:r>
      <w:r>
        <w:rPr>
          <w:rFonts w:hint="eastAsia" w:ascii="仿宋" w:hAnsi="仿宋" w:eastAsia="仿宋"/>
          <w:sz w:val="32"/>
          <w:szCs w:val="32"/>
          <w:lang w:eastAsia="zh-CN"/>
        </w:rPr>
        <w:t>评价</w:t>
      </w:r>
      <w:r>
        <w:rPr>
          <w:rFonts w:hint="eastAsia" w:ascii="仿宋" w:hAnsi="仿宋" w:eastAsia="仿宋"/>
          <w:sz w:val="32"/>
          <w:szCs w:val="32"/>
        </w:rPr>
        <w:t>得分</w:t>
      </w:r>
      <w:r>
        <w:rPr>
          <w:rFonts w:hint="eastAsia" w:ascii="仿宋" w:hAnsi="仿宋" w:eastAsia="仿宋"/>
          <w:sz w:val="32"/>
          <w:szCs w:val="32"/>
          <w:highlight w:val="none"/>
          <w:lang w:val="en-US" w:eastAsia="zh-CN"/>
        </w:rPr>
        <w:t>98</w:t>
      </w:r>
      <w:r>
        <w:rPr>
          <w:rFonts w:hint="eastAsia" w:ascii="仿宋" w:hAnsi="仿宋" w:eastAsia="仿宋"/>
          <w:sz w:val="32"/>
          <w:szCs w:val="32"/>
          <w:highlight w:val="none"/>
        </w:rPr>
        <w:t>分</w:t>
      </w:r>
      <w:r>
        <w:rPr>
          <w:rFonts w:hint="eastAsia" w:ascii="仿宋" w:hAnsi="仿宋" w:eastAsia="仿宋"/>
          <w:sz w:val="32"/>
          <w:szCs w:val="32"/>
        </w:rPr>
        <w:t>，档次“优秀”。</w:t>
      </w:r>
    </w:p>
    <w:p>
      <w:pPr>
        <w:spacing w:line="600" w:lineRule="exact"/>
        <w:ind w:firstLine="640" w:firstLineChars="200"/>
        <w:rPr>
          <w:rFonts w:hint="eastAsia" w:ascii="黑体" w:hAnsi="黑体" w:eastAsia="黑体"/>
          <w:color w:val="000000"/>
          <w:sz w:val="32"/>
          <w:szCs w:val="32"/>
        </w:rPr>
      </w:pPr>
      <w:r>
        <w:rPr>
          <w:rFonts w:hint="eastAsia" w:ascii="仿宋" w:hAnsi="仿宋" w:eastAsia="仿宋"/>
          <w:sz w:val="32"/>
          <w:szCs w:val="32"/>
        </w:rPr>
        <w:t>评分详情见下表：</w:t>
      </w:r>
    </w:p>
    <w:tbl>
      <w:tblPr>
        <w:tblStyle w:val="7"/>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41"/>
        <w:gridCol w:w="1200"/>
        <w:gridCol w:w="660"/>
        <w:gridCol w:w="3718"/>
        <w:gridCol w:w="1545"/>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tblHeader/>
          <w:jc w:val="center"/>
        </w:trPr>
        <w:tc>
          <w:tcPr>
            <w:tcW w:w="1141"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一级</w:t>
            </w:r>
          </w:p>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指标</w:t>
            </w:r>
          </w:p>
        </w:tc>
        <w:tc>
          <w:tcPr>
            <w:tcW w:w="1200"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二级指标</w:t>
            </w:r>
          </w:p>
        </w:tc>
        <w:tc>
          <w:tcPr>
            <w:tcW w:w="660" w:type="dxa"/>
            <w:shd w:val="clear" w:color="auto" w:fill="auto"/>
            <w:noWrap w:val="0"/>
            <w:vAlign w:val="center"/>
          </w:tcPr>
          <w:p>
            <w:pPr>
              <w:widowControl/>
              <w:jc w:val="center"/>
              <w:rPr>
                <w:rFonts w:hint="eastAsia" w:ascii="黑体" w:hAnsi="黑体" w:eastAsia="黑体" w:cs="黑体"/>
                <w:bCs/>
                <w:color w:val="000000"/>
                <w:kern w:val="0"/>
                <w:szCs w:val="21"/>
                <w:lang w:eastAsia="zh-CN"/>
              </w:rPr>
            </w:pPr>
            <w:r>
              <w:rPr>
                <w:rFonts w:hint="eastAsia" w:ascii="黑体" w:hAnsi="黑体" w:eastAsia="黑体" w:cs="黑体"/>
                <w:bCs/>
                <w:color w:val="000000"/>
                <w:kern w:val="0"/>
                <w:szCs w:val="21"/>
                <w:lang w:eastAsia="zh-CN"/>
              </w:rPr>
              <w:t>分</w:t>
            </w:r>
          </w:p>
          <w:p>
            <w:pPr>
              <w:widowControl/>
              <w:jc w:val="center"/>
              <w:rPr>
                <w:rFonts w:hint="eastAsia" w:ascii="黑体" w:hAnsi="黑体" w:eastAsia="黑体" w:cs="黑体"/>
                <w:bCs/>
                <w:color w:val="000000"/>
                <w:kern w:val="0"/>
                <w:szCs w:val="21"/>
                <w:lang w:eastAsia="zh-CN"/>
              </w:rPr>
            </w:pPr>
            <w:r>
              <w:rPr>
                <w:rFonts w:hint="eastAsia" w:ascii="黑体" w:hAnsi="黑体" w:eastAsia="黑体" w:cs="黑体"/>
                <w:bCs/>
                <w:color w:val="000000"/>
                <w:kern w:val="0"/>
                <w:szCs w:val="21"/>
                <w:lang w:eastAsia="zh-CN"/>
              </w:rPr>
              <w:t>值</w:t>
            </w:r>
          </w:p>
        </w:tc>
        <w:tc>
          <w:tcPr>
            <w:tcW w:w="3718"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三级指标</w:t>
            </w:r>
          </w:p>
        </w:tc>
        <w:tc>
          <w:tcPr>
            <w:tcW w:w="1545"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分值</w:t>
            </w:r>
          </w:p>
        </w:tc>
        <w:tc>
          <w:tcPr>
            <w:tcW w:w="1494"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评价</w:t>
            </w:r>
          </w:p>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jc w:val="center"/>
        </w:trPr>
        <w:tc>
          <w:tcPr>
            <w:tcW w:w="1141"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决策　</w:t>
            </w:r>
          </w:p>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　</w:t>
            </w:r>
          </w:p>
          <w:p>
            <w:pPr>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15分</w:t>
            </w: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rPr>
              <w:t>　</w:t>
            </w: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项目立项　</w:t>
            </w:r>
          </w:p>
        </w:tc>
        <w:tc>
          <w:tcPr>
            <w:tcW w:w="66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立项依据充分性</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立项程序规范性</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绩效目标　</w:t>
            </w:r>
          </w:p>
        </w:tc>
        <w:tc>
          <w:tcPr>
            <w:tcW w:w="66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绩效目标合理性</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绩效指标明确性</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rPr>
              <w:br w:type="textWrapping"/>
            </w:r>
            <w:r>
              <w:rPr>
                <w:rFonts w:hint="eastAsia" w:ascii="黑体" w:hAnsi="黑体" w:eastAsia="黑体" w:cs="黑体"/>
                <w:color w:val="000000"/>
                <w:kern w:val="0"/>
                <w:szCs w:val="21"/>
                <w:lang w:val="en-US" w:eastAsia="zh-CN"/>
              </w:rPr>
              <w:t>2.5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资金投入　</w:t>
            </w:r>
          </w:p>
        </w:tc>
        <w:tc>
          <w:tcPr>
            <w:tcW w:w="66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预算编制科学性</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资金分配合理性</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jc w:val="center"/>
        </w:trPr>
        <w:tc>
          <w:tcPr>
            <w:tcW w:w="1141" w:type="dxa"/>
            <w:vMerge w:val="restart"/>
            <w:shd w:val="clear" w:color="auto" w:fill="auto"/>
            <w:noWrap w:val="0"/>
            <w:vAlign w:val="center"/>
          </w:tcPr>
          <w:p>
            <w:pPr>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过程</w:t>
            </w:r>
          </w:p>
          <w:p>
            <w:pPr>
              <w:spacing w:line="240" w:lineRule="exact"/>
              <w:jc w:val="center"/>
              <w:rPr>
                <w:rFonts w:hint="eastAsia" w:ascii="黑体" w:hAnsi="黑体" w:eastAsia="黑体" w:cs="黑体"/>
                <w:color w:val="000000"/>
                <w:kern w:val="0"/>
                <w:szCs w:val="21"/>
                <w:lang w:eastAsia="zh-CN"/>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15分</w:t>
            </w:r>
            <w:r>
              <w:rPr>
                <w:rFonts w:hint="eastAsia" w:ascii="黑体" w:hAnsi="黑体" w:eastAsia="黑体" w:cs="黑体"/>
                <w:color w:val="000000"/>
                <w:kern w:val="0"/>
                <w:szCs w:val="21"/>
                <w:lang w:eastAsia="zh-CN"/>
              </w:rPr>
              <w:t>）</w:t>
            </w:r>
          </w:p>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　　</w:t>
            </w: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资金管理</w:t>
            </w:r>
          </w:p>
        </w:tc>
        <w:tc>
          <w:tcPr>
            <w:tcW w:w="660" w:type="dxa"/>
            <w:vMerge w:val="restart"/>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10</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资金到位率</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预算执行率</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资金使用合规性</w:t>
            </w:r>
          </w:p>
        </w:tc>
        <w:tc>
          <w:tcPr>
            <w:tcW w:w="154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1494"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组织实施　</w:t>
            </w:r>
          </w:p>
        </w:tc>
        <w:tc>
          <w:tcPr>
            <w:tcW w:w="66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管理制度健全性</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制度执行有效性</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9" w:hRule="atLeast"/>
          <w:jc w:val="center"/>
        </w:trPr>
        <w:tc>
          <w:tcPr>
            <w:tcW w:w="1141"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w:t>
            </w:r>
          </w:p>
          <w:p>
            <w:pPr>
              <w:widowControl/>
              <w:spacing w:line="240" w:lineRule="exact"/>
              <w:jc w:val="center"/>
              <w:rPr>
                <w:rFonts w:hint="eastAsia" w:ascii="黑体" w:hAnsi="黑体" w:eastAsia="黑体" w:cs="黑体"/>
                <w:color w:val="000000"/>
                <w:kern w:val="0"/>
                <w:szCs w:val="21"/>
                <w:lang w:eastAsia="zh-CN"/>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35分</w:t>
            </w:r>
            <w:r>
              <w:rPr>
                <w:rFonts w:hint="eastAsia" w:ascii="黑体" w:hAnsi="黑体" w:eastAsia="黑体" w:cs="黑体"/>
                <w:color w:val="000000"/>
                <w:kern w:val="0"/>
                <w:szCs w:val="21"/>
                <w:lang w:eastAsia="zh-CN"/>
              </w:rPr>
              <w:t>）</w:t>
            </w: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产出数量</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全年联合县区燃气管理部门开展执法10次</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4"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lang w:eastAsia="zh-CN"/>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全年开展管道燃气企业执法检查12次</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4"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lang w:eastAsia="zh-CN"/>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4</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考核县、区燃气执法落实情况12次</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4</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产出质量</w:t>
            </w:r>
          </w:p>
        </w:tc>
        <w:tc>
          <w:tcPr>
            <w:tcW w:w="660"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考核标准合格率</w:t>
            </w:r>
          </w:p>
        </w:tc>
        <w:tc>
          <w:tcPr>
            <w:tcW w:w="154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1494"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执法检查合格率</w:t>
            </w:r>
          </w:p>
        </w:tc>
        <w:tc>
          <w:tcPr>
            <w:tcW w:w="154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1494"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restart"/>
            <w:shd w:val="clear" w:color="auto" w:fill="auto"/>
            <w:noWrap w:val="0"/>
            <w:vAlign w:val="center"/>
          </w:tcPr>
          <w:p>
            <w:pPr>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产出时效</w:t>
            </w:r>
          </w:p>
        </w:tc>
        <w:tc>
          <w:tcPr>
            <w:tcW w:w="660" w:type="dxa"/>
            <w:shd w:val="clear" w:color="auto" w:fill="auto"/>
            <w:noWrap w:val="0"/>
            <w:vAlign w:val="center"/>
          </w:tcPr>
          <w:p>
            <w:pPr>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燃气执法检查及时率</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660" w:type="dxa"/>
            <w:shd w:val="clear" w:color="auto" w:fill="auto"/>
            <w:noWrap w:val="0"/>
            <w:vAlign w:val="center"/>
          </w:tcPr>
          <w:p>
            <w:pPr>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县区执法考核及时率</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产出成本</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成本控制率</w:t>
            </w:r>
          </w:p>
        </w:tc>
        <w:tc>
          <w:tcPr>
            <w:tcW w:w="154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1494"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jc w:val="center"/>
        </w:trPr>
        <w:tc>
          <w:tcPr>
            <w:tcW w:w="1141"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效益</w:t>
            </w:r>
          </w:p>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25分</w:t>
            </w: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rPr>
              <w:t>　</w:t>
            </w:r>
          </w:p>
        </w:tc>
        <w:tc>
          <w:tcPr>
            <w:tcW w:w="1200"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经济效益　</w:t>
            </w:r>
          </w:p>
        </w:tc>
        <w:tc>
          <w:tcPr>
            <w:tcW w:w="660"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0</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无</w:t>
            </w:r>
          </w:p>
        </w:tc>
        <w:tc>
          <w:tcPr>
            <w:tcW w:w="154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无</w:t>
            </w:r>
          </w:p>
        </w:tc>
        <w:tc>
          <w:tcPr>
            <w:tcW w:w="1494"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社会效益</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减少燃气事故发生率2%</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生态效益</w:t>
            </w:r>
          </w:p>
        </w:tc>
        <w:tc>
          <w:tcPr>
            <w:tcW w:w="660"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0</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无</w:t>
            </w:r>
          </w:p>
        </w:tc>
        <w:tc>
          <w:tcPr>
            <w:tcW w:w="154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无</w:t>
            </w:r>
          </w:p>
        </w:tc>
        <w:tc>
          <w:tcPr>
            <w:tcW w:w="1494"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可持续效益</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执法制度健全性</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9" w:hRule="atLeast"/>
          <w:jc w:val="center"/>
        </w:trPr>
        <w:tc>
          <w:tcPr>
            <w:tcW w:w="1141"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满意度</w:t>
            </w:r>
          </w:p>
          <w:p>
            <w:pPr>
              <w:widowControl/>
              <w:spacing w:line="240" w:lineRule="exact"/>
              <w:jc w:val="center"/>
              <w:rPr>
                <w:rFonts w:hint="eastAsia" w:ascii="黑体" w:hAnsi="黑体" w:eastAsia="黑体" w:cs="黑体"/>
                <w:color w:val="000000"/>
                <w:kern w:val="0"/>
                <w:szCs w:val="21"/>
                <w:lang w:eastAsia="zh-CN"/>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10分</w:t>
            </w:r>
            <w:r>
              <w:rPr>
                <w:rFonts w:hint="eastAsia" w:ascii="黑体" w:hAnsi="黑体" w:eastAsia="黑体" w:cs="黑体"/>
                <w:color w:val="000000"/>
                <w:kern w:val="0"/>
                <w:szCs w:val="21"/>
                <w:lang w:eastAsia="zh-CN"/>
              </w:rPr>
              <w:t>）</w:t>
            </w:r>
          </w:p>
        </w:tc>
        <w:tc>
          <w:tcPr>
            <w:tcW w:w="1200"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社会公众或服务对象满意度</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10</w:t>
            </w:r>
          </w:p>
        </w:tc>
        <w:tc>
          <w:tcPr>
            <w:tcW w:w="3718"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社会群众满意率</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10</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9" w:hRule="atLeast"/>
          <w:jc w:val="center"/>
        </w:trPr>
        <w:tc>
          <w:tcPr>
            <w:tcW w:w="6719" w:type="dxa"/>
            <w:gridSpan w:val="4"/>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总分</w:t>
            </w:r>
          </w:p>
        </w:tc>
        <w:tc>
          <w:tcPr>
            <w:tcW w:w="154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100</w:t>
            </w:r>
          </w:p>
        </w:tc>
        <w:tc>
          <w:tcPr>
            <w:tcW w:w="1494"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98</w:t>
            </w:r>
          </w:p>
        </w:tc>
      </w:tr>
    </w:tbl>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四、绩效评价指标分析</w:t>
      </w:r>
    </w:p>
    <w:p>
      <w:pPr>
        <w:spacing w:line="600" w:lineRule="exact"/>
        <w:ind w:firstLine="643" w:firstLineChars="200"/>
        <w:outlineLvl w:val="0"/>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（一）项目决策情况</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eastAsia="黑体"/>
          <w:sz w:val="28"/>
          <w:szCs w:val="28"/>
        </w:rPr>
      </w:pPr>
      <w:r>
        <w:rPr>
          <w:rFonts w:hint="eastAsia" w:ascii="黑体" w:eastAsia="黑体"/>
          <w:sz w:val="28"/>
          <w:szCs w:val="28"/>
        </w:rPr>
        <w:t>1、项目立项依据</w:t>
      </w:r>
      <w:r>
        <w:rPr>
          <w:rFonts w:ascii="黑体" w:eastAsia="黑体"/>
          <w:sz w:val="28"/>
          <w:szCs w:val="28"/>
        </w:rPr>
        <w:t>充分性、</w:t>
      </w:r>
      <w:r>
        <w:rPr>
          <w:rFonts w:hint="eastAsia" w:ascii="黑体" w:eastAsia="黑体"/>
          <w:sz w:val="28"/>
          <w:szCs w:val="28"/>
        </w:rPr>
        <w:t>规范性</w:t>
      </w:r>
      <w:r>
        <w:rPr>
          <w:rFonts w:ascii="黑体" w:eastAsia="黑体"/>
          <w:sz w:val="28"/>
          <w:szCs w:val="28"/>
        </w:rPr>
        <w:t>程序</w:t>
      </w:r>
      <w:r>
        <w:rPr>
          <w:rFonts w:hint="eastAsia" w:ascii="黑体" w:eastAsia="黑体"/>
          <w:sz w:val="28"/>
          <w:szCs w:val="28"/>
        </w:rPr>
        <w:t>情况分析</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南昌市排水事务中心（原市燃气管理处）燃气执法监管项目</w:t>
      </w:r>
      <w:r>
        <w:rPr>
          <w:rFonts w:hint="eastAsia" w:ascii="仿宋" w:hAnsi="仿宋" w:eastAsia="仿宋" w:cs="Times New Roman"/>
          <w:sz w:val="32"/>
          <w:szCs w:val="32"/>
          <w:lang w:val="en-US" w:eastAsia="zh-CN"/>
        </w:rPr>
        <w:t>是</w:t>
      </w:r>
      <w:r>
        <w:rPr>
          <w:rFonts w:hint="eastAsia" w:ascii="仿宋" w:hAnsi="仿宋" w:eastAsia="仿宋" w:cs="Times New Roman"/>
          <w:sz w:val="32"/>
          <w:szCs w:val="32"/>
        </w:rPr>
        <w:t>按照</w:t>
      </w:r>
      <w:r>
        <w:rPr>
          <w:rFonts w:hint="eastAsia" w:ascii="仿宋" w:hAnsi="仿宋" w:eastAsia="仿宋" w:cs="Times New Roman"/>
          <w:sz w:val="32"/>
          <w:szCs w:val="32"/>
          <w:lang w:eastAsia="zh-CN"/>
        </w:rPr>
        <w:t>《</w:t>
      </w:r>
      <w:r>
        <w:rPr>
          <w:rFonts w:hint="eastAsia" w:ascii="仿宋" w:hAnsi="仿宋" w:eastAsia="仿宋" w:cs="仿宋"/>
          <w:sz w:val="32"/>
          <w:szCs w:val="32"/>
          <w:highlight w:val="none"/>
        </w:rPr>
        <w:t>南昌市人民政府办公厅抄告单</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洪府厅抄字</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2018</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512号</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文件要求</w:t>
      </w:r>
      <w:r>
        <w:rPr>
          <w:rFonts w:hint="eastAsia" w:ascii="仿宋" w:hAnsi="仿宋" w:eastAsia="仿宋" w:cs="Times New Roman"/>
          <w:sz w:val="32"/>
          <w:szCs w:val="32"/>
        </w:rPr>
        <w:t>立项实施的，该项目立项依据充分，符合南昌市排水事务中心（原市燃气管理处）日常职责所需，本次项目资金由南昌市财政局下拨，本次所需经费纳入部门预算，属于公共财政支持范围，且同时符合中央、地方事权支出责任划分原则，该指标得分2.5分。</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eastAsia"/>
        </w:rPr>
      </w:pPr>
      <w:r>
        <w:rPr>
          <w:rFonts w:hint="eastAsia" w:ascii="仿宋" w:hAnsi="仿宋" w:eastAsia="仿宋" w:cs="仿宋"/>
          <w:sz w:val="32"/>
          <w:szCs w:val="32"/>
          <w:highlight w:val="none"/>
          <w:lang w:val="en-US" w:eastAsia="zh-CN"/>
        </w:rPr>
        <w:t>该项目依照了一般项目立项规定的程序申请设立，由南昌市排水事务中心（原市燃气管理处）提交项目申报书及申报表，经主管局审核无误后，提交市财政局及同级人大审批，最终按照批复文件下达项目预算资金。项目立项程序规范完整，项目审批文件、材料符合财政相关立项要求，该指标得分2.5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rPr>
      </w:pPr>
      <w:r>
        <w:rPr>
          <w:rFonts w:hint="eastAsia" w:ascii="黑体" w:hAnsi="Calibri" w:eastAsia="黑体" w:cs="Times New Roman"/>
          <w:sz w:val="28"/>
          <w:szCs w:val="28"/>
        </w:rPr>
        <w:t>2、绩效目标合理性、指标明确性情况分析</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该项目在财政信息一体化系统里填报了2021年燃气执法监管项目预算资金和绩效目标信息，绩效目标设置情况与实际工作内容基本相符，项目预期产出及效益与正常的业绩水平相适应，按《南昌市人民政府办公厅抄告单》（洪府厅抄字[2018]512号）为标准设定的绩效目标与预算确定的项目资金量相匹配，该指标得分2.5分。</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ascii="仿宋" w:hAnsi="仿宋" w:eastAsia="仿宋"/>
          <w:sz w:val="32"/>
          <w:szCs w:val="32"/>
        </w:rPr>
      </w:pPr>
      <w:r>
        <w:rPr>
          <w:rFonts w:hint="eastAsia" w:ascii="仿宋" w:hAnsi="仿宋" w:eastAsia="仿宋" w:cs="仿宋"/>
          <w:sz w:val="32"/>
          <w:szCs w:val="32"/>
          <w:highlight w:val="none"/>
          <w:lang w:val="en-US" w:eastAsia="zh-CN"/>
        </w:rPr>
        <w:t>南昌市排水事务中心（原市燃气管理处）燃气执法监管项目根据2021年度项目实施内容，设置了数量指标为全年联合县区燃气管理部门开展执法10次、全年开展管道燃气企业执法检查12次、考核县、区燃气执法落实情况12次；质量指标为考核标准合格率100%、执法检查合格率100%；时效指标为燃气执法检查及时率100%、县区执法考核及时率100%；成本指标为成本控制率≤100%；社会效益指标为减少燃气事故发生率2%；可持续影响指标为执法制度健全性100%；服务对象满意度为社会群众满意率95%，指标设置较为量化，指标内容较为明确，该指标得分2.5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rPr>
      </w:pPr>
      <w:r>
        <w:rPr>
          <w:rFonts w:hint="eastAsia" w:ascii="黑体" w:hAnsi="Calibri" w:eastAsia="黑体" w:cs="Times New Roman"/>
          <w:sz w:val="28"/>
          <w:szCs w:val="28"/>
        </w:rPr>
        <w:t>3、项目资金预算编制科学性、资金分配合理性情况分析</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南昌市排水事务中心（原市燃气管理处）根据预算编制依据、预算资金总额度及资金用途进行预算编制，预算资金安排严格按照了《南昌市人民政府办公厅抄告单》（洪府厅抄字[2018]512号）要求执行，该项目依照资金具体用途编制了项目预算和资金使用测算表，资金投入分解较为细化，与项目实施内容基本匹配，该指标得分2.5分。</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b/>
          <w:bCs w:val="0"/>
          <w:color w:val="000000"/>
          <w:sz w:val="32"/>
          <w:szCs w:val="32"/>
        </w:rPr>
      </w:pPr>
      <w:r>
        <w:rPr>
          <w:rFonts w:hint="eastAsia" w:ascii="仿宋" w:hAnsi="仿宋" w:eastAsia="仿宋" w:cs="仿宋"/>
          <w:sz w:val="32"/>
          <w:szCs w:val="32"/>
          <w:highlight w:val="none"/>
          <w:lang w:val="en-US" w:eastAsia="zh-CN"/>
        </w:rPr>
        <w:t>该项目的资金分配过程主要参考了资金测算依据等文件，项目资金分配内容较为细化，资金分配过程合理，该指标得分2.5分。</w:t>
      </w:r>
    </w:p>
    <w:p>
      <w:pPr>
        <w:spacing w:line="600" w:lineRule="exact"/>
        <w:ind w:firstLine="643" w:firstLineChars="200"/>
        <w:outlineLvl w:val="0"/>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（二）项目过程情况</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rPr>
      </w:pPr>
      <w:r>
        <w:rPr>
          <w:rFonts w:hint="eastAsia" w:ascii="黑体" w:hAnsi="Calibri" w:eastAsia="黑体" w:cs="Times New Roman"/>
          <w:sz w:val="28"/>
          <w:szCs w:val="28"/>
        </w:rPr>
        <w:t>1、项目资金管理资金到位率、预算执行率情况分析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0"/>
        <w:rPr>
          <w:rFonts w:hint="eastAsia" w:ascii="仿宋" w:hAnsi="仿宋" w:eastAsia="仿宋" w:cs="仿宋_GB2312"/>
          <w:sz w:val="32"/>
          <w:szCs w:val="32"/>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w:t>
      </w:r>
      <w:r>
        <w:rPr>
          <w:rFonts w:hint="eastAsia" w:ascii="仿宋" w:hAnsi="仿宋" w:eastAsia="仿宋"/>
          <w:sz w:val="32"/>
          <w:szCs w:val="32"/>
        </w:rPr>
        <w:t>燃气执法监管</w:t>
      </w:r>
      <w:r>
        <w:rPr>
          <w:rFonts w:hint="eastAsia" w:ascii="仿宋" w:hAnsi="仿宋" w:eastAsia="仿宋"/>
          <w:sz w:val="32"/>
          <w:szCs w:val="32"/>
          <w:lang w:val="en-US" w:eastAsia="zh-CN"/>
        </w:rPr>
        <w:t>项目</w:t>
      </w:r>
      <w:r>
        <w:rPr>
          <w:rFonts w:ascii="仿宋" w:hAnsi="仿宋" w:eastAsia="仿宋" w:cs="仿宋_GB2312"/>
          <w:sz w:val="32"/>
          <w:szCs w:val="32"/>
        </w:rPr>
        <w:t>预算安</w:t>
      </w:r>
      <w:r>
        <w:rPr>
          <w:rFonts w:hint="eastAsia" w:ascii="仿宋" w:hAnsi="仿宋" w:eastAsia="仿宋" w:cs="仿宋_GB2312"/>
          <w:sz w:val="32"/>
          <w:szCs w:val="32"/>
        </w:rPr>
        <w:t>排</w:t>
      </w:r>
      <w:r>
        <w:rPr>
          <w:rFonts w:hint="eastAsia" w:ascii="仿宋" w:hAnsi="仿宋" w:eastAsia="仿宋" w:cs="仿宋_GB2312"/>
          <w:sz w:val="32"/>
          <w:szCs w:val="32"/>
          <w:lang w:val="en-US" w:eastAsia="zh-CN"/>
        </w:rPr>
        <w:t>38.4</w:t>
      </w:r>
      <w:r>
        <w:rPr>
          <w:rFonts w:hint="eastAsia" w:ascii="仿宋" w:hAnsi="仿宋" w:eastAsia="仿宋" w:cs="仿宋_GB2312"/>
          <w:sz w:val="32"/>
          <w:szCs w:val="32"/>
        </w:rPr>
        <w:t>万</w:t>
      </w:r>
      <w:r>
        <w:rPr>
          <w:rFonts w:ascii="仿宋" w:hAnsi="仿宋" w:eastAsia="仿宋" w:cs="仿宋_GB2312"/>
          <w:sz w:val="32"/>
          <w:szCs w:val="32"/>
        </w:rPr>
        <w:t>元，实际到位</w:t>
      </w:r>
      <w:r>
        <w:rPr>
          <w:rFonts w:hint="eastAsia" w:ascii="仿宋" w:hAnsi="仿宋" w:eastAsia="仿宋" w:cs="仿宋_GB2312"/>
          <w:sz w:val="32"/>
          <w:szCs w:val="32"/>
        </w:rPr>
        <w:t>资金</w:t>
      </w:r>
      <w:r>
        <w:rPr>
          <w:rFonts w:hint="eastAsia" w:ascii="仿宋" w:hAnsi="仿宋" w:eastAsia="仿宋" w:cs="仿宋_GB2312"/>
          <w:sz w:val="32"/>
          <w:szCs w:val="32"/>
          <w:lang w:val="en-US" w:eastAsia="zh-CN"/>
        </w:rPr>
        <w:t>38.4</w:t>
      </w:r>
      <w:r>
        <w:rPr>
          <w:rFonts w:hint="eastAsia" w:ascii="仿宋" w:hAnsi="仿宋" w:eastAsia="仿宋" w:cs="仿宋_GB2312"/>
          <w:sz w:val="32"/>
          <w:szCs w:val="32"/>
        </w:rPr>
        <w:t>万</w:t>
      </w:r>
      <w:r>
        <w:rPr>
          <w:rFonts w:ascii="仿宋" w:hAnsi="仿宋" w:eastAsia="仿宋" w:cs="仿宋_GB2312"/>
          <w:sz w:val="32"/>
          <w:szCs w:val="32"/>
        </w:rPr>
        <w:t>元</w:t>
      </w:r>
      <w:r>
        <w:rPr>
          <w:rFonts w:hint="eastAsia" w:ascii="仿宋" w:hAnsi="仿宋" w:eastAsia="仿宋" w:cs="仿宋_GB2312"/>
          <w:sz w:val="32"/>
          <w:szCs w:val="32"/>
        </w:rPr>
        <w:t>，</w:t>
      </w:r>
      <w:r>
        <w:rPr>
          <w:rFonts w:ascii="仿宋" w:hAnsi="仿宋" w:eastAsia="仿宋" w:cs="仿宋_GB2312"/>
          <w:sz w:val="32"/>
          <w:szCs w:val="32"/>
        </w:rPr>
        <w:t>资金到位</w:t>
      </w:r>
      <w:r>
        <w:rPr>
          <w:rFonts w:hint="eastAsia" w:ascii="仿宋" w:hAnsi="仿宋" w:eastAsia="仿宋" w:cs="仿宋_GB2312"/>
          <w:sz w:val="32"/>
          <w:szCs w:val="32"/>
        </w:rPr>
        <w:t>率100</w:t>
      </w:r>
      <w:r>
        <w:rPr>
          <w:rFonts w:ascii="仿宋" w:hAnsi="仿宋" w:eastAsia="仿宋" w:cs="仿宋_GB2312"/>
          <w:sz w:val="32"/>
          <w:szCs w:val="32"/>
        </w:rPr>
        <w:t>%，</w:t>
      </w:r>
      <w:r>
        <w:rPr>
          <w:rFonts w:hint="eastAsia" w:ascii="仿宋" w:hAnsi="仿宋" w:eastAsia="仿宋" w:cs="仿宋_GB2312"/>
          <w:sz w:val="32"/>
          <w:szCs w:val="32"/>
        </w:rPr>
        <w:t>预算支出</w:t>
      </w:r>
      <w:r>
        <w:rPr>
          <w:rFonts w:hint="eastAsia" w:ascii="仿宋" w:hAnsi="仿宋" w:eastAsia="仿宋" w:cs="仿宋_GB2312"/>
          <w:sz w:val="32"/>
          <w:szCs w:val="32"/>
          <w:lang w:val="en-US" w:eastAsia="zh-CN"/>
        </w:rPr>
        <w:t>38.4</w:t>
      </w:r>
      <w:r>
        <w:rPr>
          <w:rFonts w:hint="eastAsia" w:ascii="仿宋" w:hAnsi="仿宋" w:eastAsia="仿宋" w:cs="仿宋_GB2312"/>
          <w:sz w:val="32"/>
          <w:szCs w:val="32"/>
        </w:rPr>
        <w:t>万</w:t>
      </w:r>
      <w:r>
        <w:rPr>
          <w:rFonts w:ascii="仿宋" w:hAnsi="仿宋" w:eastAsia="仿宋" w:cs="仿宋_GB2312"/>
          <w:sz w:val="32"/>
          <w:szCs w:val="32"/>
        </w:rPr>
        <w:t>元，预算执行率</w:t>
      </w:r>
      <w:r>
        <w:rPr>
          <w:rFonts w:hint="eastAsia" w:ascii="仿宋" w:hAnsi="仿宋" w:eastAsia="仿宋" w:cs="仿宋_GB2312"/>
          <w:sz w:val="32"/>
          <w:szCs w:val="32"/>
        </w:rPr>
        <w:t>100</w:t>
      </w:r>
      <w:r>
        <w:rPr>
          <w:rFonts w:ascii="仿宋" w:hAnsi="仿宋" w:eastAsia="仿宋" w:cs="仿宋_GB2312"/>
          <w:sz w:val="32"/>
          <w:szCs w:val="32"/>
        </w:rPr>
        <w:t>%，得</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分</w:t>
      </w:r>
      <w:r>
        <w:rPr>
          <w:rFonts w:ascii="仿宋" w:hAnsi="仿宋" w:eastAsia="仿宋" w:cs="仿宋_GB2312"/>
          <w:sz w:val="32"/>
          <w:szCs w:val="32"/>
        </w:rPr>
        <w:t>。</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rPr>
      </w:pPr>
      <w:r>
        <w:rPr>
          <w:rFonts w:hint="eastAsia" w:ascii="黑体" w:hAnsi="Calibri" w:eastAsia="黑体" w:cs="Times New Roman"/>
          <w:sz w:val="28"/>
          <w:szCs w:val="28"/>
        </w:rPr>
        <w:t>2、项目资金使用合规性情况分析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0"/>
        <w:rPr>
          <w:rFonts w:hint="eastAsia" w:ascii="仿宋" w:hAnsi="仿宋" w:eastAsia="仿宋" w:cs="仿宋_GB2312"/>
          <w:sz w:val="32"/>
          <w:szCs w:val="32"/>
        </w:rPr>
      </w:pPr>
      <w:r>
        <w:rPr>
          <w:rFonts w:hint="eastAsia" w:ascii="仿宋" w:hAnsi="仿宋" w:eastAsia="仿宋" w:cs="仿宋_GB2312"/>
          <w:sz w:val="32"/>
          <w:szCs w:val="32"/>
        </w:rPr>
        <w:t>该该项目资金使用依照《</w:t>
      </w:r>
      <w:r>
        <w:rPr>
          <w:rFonts w:hint="eastAsia" w:ascii="仿宋" w:hAnsi="仿宋" w:eastAsia="仿宋" w:cs="仿宋"/>
          <w:sz w:val="32"/>
          <w:szCs w:val="32"/>
          <w:highlight w:val="none"/>
          <w:lang w:val="en-US" w:eastAsia="zh-CN"/>
        </w:rPr>
        <w:t>南昌市排水事务中心（原市燃气管理处）</w:t>
      </w:r>
      <w:r>
        <w:rPr>
          <w:rFonts w:hint="eastAsia" w:ascii="仿宋" w:hAnsi="仿宋" w:eastAsia="仿宋" w:cs="仿宋_GB2312"/>
          <w:sz w:val="32"/>
          <w:szCs w:val="32"/>
        </w:rPr>
        <w:t>财务管理制度》等财务管理制度执行，资金的拨付有完整的审批程序和手续，且符合项目预算批复或合同规定的用途；在本次评价过程中，对该项目支出涉及的全部凭证进行了核查，未发现截留、挤占、挪用、虚列支出等情况，资金使用合规性较好，该指标得分</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rPr>
      </w:pPr>
      <w:r>
        <w:rPr>
          <w:rFonts w:hint="eastAsia" w:ascii="黑体" w:hAnsi="Calibri" w:eastAsia="黑体" w:cs="Times New Roman"/>
          <w:sz w:val="28"/>
          <w:szCs w:val="28"/>
        </w:rPr>
        <w:t>3、项目组织实施情况分析</w:t>
      </w:r>
    </w:p>
    <w:p>
      <w:pPr>
        <w:keepNext w:val="0"/>
        <w:keepLines w:val="0"/>
        <w:pageBreakBefore w:val="0"/>
        <w:kinsoku/>
        <w:wordWrap/>
        <w:overflowPunct/>
        <w:topLinePunct w:val="0"/>
        <w:autoSpaceDE/>
        <w:autoSpaceDN/>
        <w:bidi w:val="0"/>
        <w:adjustRightInd/>
        <w:spacing w:line="600" w:lineRule="exact"/>
        <w:ind w:left="0"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该项目依照《</w:t>
      </w:r>
      <w:r>
        <w:rPr>
          <w:rFonts w:hint="eastAsia" w:ascii="仿宋" w:hAnsi="仿宋" w:eastAsia="仿宋" w:cs="仿宋_GB2312"/>
          <w:sz w:val="32"/>
          <w:szCs w:val="32"/>
          <w:lang w:val="en-US" w:eastAsia="zh-CN"/>
        </w:rPr>
        <w:t>事业</w:t>
      </w:r>
      <w:r>
        <w:rPr>
          <w:rFonts w:hint="eastAsia" w:ascii="仿宋" w:hAnsi="仿宋" w:eastAsia="仿宋" w:cs="仿宋_GB2312"/>
          <w:sz w:val="32"/>
          <w:szCs w:val="32"/>
        </w:rPr>
        <w:t>单位财务制度》、《</w:t>
      </w:r>
      <w:r>
        <w:rPr>
          <w:rFonts w:hint="eastAsia" w:ascii="仿宋" w:hAnsi="仿宋" w:eastAsia="仿宋" w:cs="仿宋_GB2312"/>
          <w:sz w:val="32"/>
          <w:szCs w:val="32"/>
          <w:lang w:val="en-US" w:eastAsia="zh-CN"/>
        </w:rPr>
        <w:t>事业</w:t>
      </w:r>
      <w:r>
        <w:rPr>
          <w:rFonts w:hint="eastAsia" w:ascii="仿宋" w:hAnsi="仿宋" w:eastAsia="仿宋" w:cs="仿宋_GB2312"/>
          <w:sz w:val="32"/>
          <w:szCs w:val="32"/>
        </w:rPr>
        <w:t>单位会计制度》及《</w:t>
      </w:r>
      <w:r>
        <w:rPr>
          <w:rFonts w:hint="eastAsia" w:ascii="仿宋" w:hAnsi="仿宋" w:eastAsia="仿宋" w:cs="仿宋_GB2312"/>
          <w:sz w:val="32"/>
          <w:szCs w:val="32"/>
          <w:lang w:eastAsia="zh-CN"/>
        </w:rPr>
        <w:t>南昌市排水事务中心（原市燃气管理处）</w:t>
      </w:r>
      <w:r>
        <w:rPr>
          <w:rFonts w:hint="eastAsia" w:ascii="仿宋" w:hAnsi="仿宋" w:eastAsia="仿宋" w:cs="仿宋_GB2312"/>
          <w:sz w:val="32"/>
          <w:szCs w:val="32"/>
        </w:rPr>
        <w:t>财务管理制度》相关文件内容，设立了相应的财务管理制度和支出管理制度，相关管理制度合法、合规、完整、健全，该指标得分</w:t>
      </w:r>
      <w:r>
        <w:rPr>
          <w:rFonts w:hint="eastAsia" w:ascii="仿宋" w:hAnsi="仿宋" w:eastAsia="仿宋" w:cs="仿宋_GB2312"/>
          <w:sz w:val="32"/>
          <w:szCs w:val="32"/>
          <w:lang w:val="en-US" w:eastAsia="zh-CN"/>
        </w:rPr>
        <w:t>2.5</w:t>
      </w:r>
      <w:r>
        <w:rPr>
          <w:rFonts w:hint="eastAsia" w:ascii="仿宋" w:hAnsi="仿宋" w:eastAsia="仿宋" w:cs="仿宋_GB2312"/>
          <w:sz w:val="32"/>
          <w:szCs w:val="32"/>
        </w:rPr>
        <w:t>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0"/>
        <w:rPr>
          <w:rFonts w:hint="eastAsia" w:ascii="楷体_GB2312" w:hAnsi="楷体_GB2312" w:eastAsia="楷体_GB2312" w:cs="楷体_GB2312"/>
          <w:b/>
          <w:bCs w:val="0"/>
          <w:color w:val="000000"/>
          <w:sz w:val="32"/>
          <w:szCs w:val="32"/>
        </w:rPr>
      </w:pPr>
      <w:r>
        <w:rPr>
          <w:rFonts w:hint="eastAsia" w:ascii="仿宋" w:hAnsi="仿宋" w:eastAsia="仿宋" w:cs="仿宋_GB2312"/>
          <w:sz w:val="32"/>
          <w:szCs w:val="32"/>
        </w:rPr>
        <w:t>在项目执行过程中，项目单位根据</w:t>
      </w:r>
      <w:r>
        <w:rPr>
          <w:rFonts w:hint="eastAsia" w:ascii="仿宋" w:hAnsi="仿宋" w:eastAsia="仿宋" w:cs="仿宋_GB2312"/>
          <w:sz w:val="32"/>
          <w:szCs w:val="32"/>
          <w:lang w:eastAsia="zh-CN"/>
        </w:rPr>
        <w:t>南昌市排水事务中心（原市燃气管理处）</w:t>
      </w:r>
      <w:r>
        <w:rPr>
          <w:rFonts w:hint="eastAsia" w:ascii="仿宋" w:hAnsi="仿宋" w:eastAsia="仿宋" w:cs="仿宋_GB2312"/>
          <w:sz w:val="32"/>
          <w:szCs w:val="32"/>
        </w:rPr>
        <w:t>制定的《财务管理制度》、《支出管理制度》等系列文件开展工作，项目实施的人员条件、场地设备、信息支撑等均已落实到位，项目实施资料归档齐全，项目支出调整手续完备，该指标得分</w:t>
      </w:r>
      <w:r>
        <w:rPr>
          <w:rFonts w:hint="eastAsia" w:ascii="仿宋" w:hAnsi="仿宋" w:eastAsia="仿宋" w:cs="仿宋_GB2312"/>
          <w:sz w:val="32"/>
          <w:szCs w:val="32"/>
          <w:lang w:val="en-US" w:eastAsia="zh-CN"/>
        </w:rPr>
        <w:t>2.5</w:t>
      </w:r>
      <w:r>
        <w:rPr>
          <w:rFonts w:hint="eastAsia" w:ascii="仿宋" w:hAnsi="仿宋" w:eastAsia="仿宋" w:cs="仿宋_GB2312"/>
          <w:sz w:val="32"/>
          <w:szCs w:val="32"/>
        </w:rPr>
        <w:t>分。</w:t>
      </w:r>
    </w:p>
    <w:p>
      <w:pPr>
        <w:spacing w:line="600" w:lineRule="exact"/>
        <w:ind w:firstLine="643" w:firstLineChars="200"/>
        <w:outlineLvl w:val="0"/>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（三）项目产出情况。</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rPr>
      </w:pPr>
      <w:r>
        <w:rPr>
          <w:rFonts w:hint="eastAsia" w:ascii="黑体" w:hAnsi="Calibri" w:eastAsia="黑体" w:cs="Times New Roman"/>
          <w:sz w:val="28"/>
          <w:szCs w:val="28"/>
        </w:rPr>
        <w:t>1、产出数量指标情况分析</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default" w:ascii="黑体" w:hAnsi="Calibri" w:eastAsia="黑体" w:cs="Times New Roman"/>
          <w:sz w:val="28"/>
          <w:szCs w:val="28"/>
          <w:lang w:val="en-US" w:eastAsia="zh-CN"/>
        </w:rPr>
      </w:pPr>
      <w:r>
        <w:rPr>
          <w:rFonts w:hint="eastAsia" w:ascii="黑体" w:hAnsi="Calibri" w:eastAsia="黑体" w:cs="Times New Roman"/>
          <w:sz w:val="28"/>
          <w:szCs w:val="28"/>
          <w:lang w:val="en-US" w:eastAsia="zh-CN"/>
        </w:rPr>
        <w:t>（1）全年联合县区燃气管理部门开展执法10次（分值</w:t>
      </w:r>
      <w:r>
        <w:rPr>
          <w:rFonts w:hint="eastAsia" w:ascii="黑体" w:eastAsia="黑体" w:cs="Times New Roman"/>
          <w:sz w:val="28"/>
          <w:szCs w:val="28"/>
          <w:lang w:val="en-US" w:eastAsia="zh-CN"/>
        </w:rPr>
        <w:t>3</w:t>
      </w:r>
      <w:r>
        <w:rPr>
          <w:rFonts w:hint="eastAsia" w:ascii="黑体" w:hAnsi="Calibri" w:eastAsia="黑体" w:cs="Times New Roman"/>
          <w:sz w:val="28"/>
          <w:szCs w:val="28"/>
          <w:lang w:val="en-US" w:eastAsia="zh-CN"/>
        </w:rPr>
        <w:t>分，得分</w:t>
      </w:r>
      <w:r>
        <w:rPr>
          <w:rFonts w:hint="eastAsia" w:ascii="黑体" w:eastAsia="黑体" w:cs="Times New Roman"/>
          <w:sz w:val="28"/>
          <w:szCs w:val="28"/>
          <w:lang w:val="en-US" w:eastAsia="zh-CN"/>
        </w:rPr>
        <w:t>3</w:t>
      </w:r>
      <w:r>
        <w:rPr>
          <w:rFonts w:hint="eastAsia" w:ascii="黑体" w:hAnsi="Calibri" w:eastAsia="黑体" w:cs="Times New Roman"/>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为加强业务指导，全年开展联合执法10次以上，查处、纠正燃气违法（章）行为，打击燃气行业违法行为的高压态势已经形成。故经考核，本次得分3分。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lang w:val="en-US" w:eastAsia="zh-CN"/>
        </w:rPr>
      </w:pPr>
      <w:r>
        <w:rPr>
          <w:rFonts w:hint="eastAsia" w:ascii="黑体" w:hAnsi="Calibri" w:eastAsia="黑体" w:cs="Times New Roman"/>
          <w:sz w:val="28"/>
          <w:szCs w:val="28"/>
          <w:lang w:val="en-US" w:eastAsia="zh-CN"/>
        </w:rPr>
        <w:t>（2）全年开展管道燃气企业执法检查12次（分值</w:t>
      </w:r>
      <w:r>
        <w:rPr>
          <w:rFonts w:hint="eastAsia" w:ascii="黑体" w:eastAsia="黑体" w:cs="Times New Roman"/>
          <w:sz w:val="28"/>
          <w:szCs w:val="28"/>
          <w:lang w:val="en-US" w:eastAsia="zh-CN"/>
        </w:rPr>
        <w:t>3</w:t>
      </w:r>
      <w:r>
        <w:rPr>
          <w:rFonts w:hint="eastAsia" w:ascii="黑体" w:hAnsi="Calibri" w:eastAsia="黑体" w:cs="Times New Roman"/>
          <w:sz w:val="28"/>
          <w:szCs w:val="28"/>
          <w:lang w:val="en-US" w:eastAsia="zh-CN"/>
        </w:rPr>
        <w:t>分，得分</w:t>
      </w:r>
      <w:r>
        <w:rPr>
          <w:rFonts w:hint="eastAsia" w:ascii="黑体" w:eastAsia="黑体" w:cs="Times New Roman"/>
          <w:sz w:val="28"/>
          <w:szCs w:val="28"/>
          <w:lang w:val="en-US" w:eastAsia="zh-CN"/>
        </w:rPr>
        <w:t>3</w:t>
      </w:r>
      <w:r>
        <w:rPr>
          <w:rFonts w:hint="eastAsia" w:ascii="黑体" w:hAnsi="Calibri" w:eastAsia="黑体" w:cs="Times New Roman"/>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val="0"/>
          <w:bCs w:val="0"/>
          <w:kern w:val="2"/>
          <w:sz w:val="32"/>
          <w:szCs w:val="32"/>
          <w:lang w:val="en-US" w:eastAsia="zh-CN" w:bidi="ar-SA"/>
        </w:rPr>
        <w:t>2021年全市燃</w:t>
      </w:r>
      <w:r>
        <w:rPr>
          <w:rFonts w:hint="eastAsia" w:ascii="仿宋" w:hAnsi="仿宋" w:eastAsia="仿宋" w:cs="仿宋"/>
          <w:kern w:val="2"/>
          <w:sz w:val="32"/>
          <w:szCs w:val="32"/>
          <w:lang w:val="en-US" w:eastAsia="zh-CN" w:bidi="ar-SA"/>
        </w:rPr>
        <w:t>气管理部门分别对对瓶装液化石油气储配站、管道燃气经营企业、天然气加气站、瓶装液化石油气服务点、餐饮场所进行安全检查，查处、纠正燃气违法（章）行为和证据保存液化气钢瓶数量都取得突破。故经考核，本次得分3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lang w:val="en-US" w:eastAsia="zh-CN"/>
        </w:rPr>
      </w:pPr>
      <w:r>
        <w:rPr>
          <w:rFonts w:hint="eastAsia" w:ascii="黑体" w:hAnsi="Calibri" w:eastAsia="黑体" w:cs="Times New Roman"/>
          <w:sz w:val="28"/>
          <w:szCs w:val="28"/>
          <w:lang w:val="en-US" w:eastAsia="zh-CN"/>
        </w:rPr>
        <w:t>（3）考核县、区燃气执法落实情况12次（分值</w:t>
      </w:r>
      <w:r>
        <w:rPr>
          <w:rFonts w:hint="eastAsia" w:ascii="黑体" w:eastAsia="黑体" w:cs="Times New Roman"/>
          <w:sz w:val="28"/>
          <w:szCs w:val="28"/>
          <w:lang w:val="en-US" w:eastAsia="zh-CN"/>
        </w:rPr>
        <w:t>4</w:t>
      </w:r>
      <w:r>
        <w:rPr>
          <w:rFonts w:hint="eastAsia" w:ascii="黑体" w:hAnsi="Calibri" w:eastAsia="黑体" w:cs="Times New Roman"/>
          <w:sz w:val="28"/>
          <w:szCs w:val="28"/>
          <w:lang w:val="en-US" w:eastAsia="zh-CN"/>
        </w:rPr>
        <w:t>分，得分</w:t>
      </w:r>
      <w:r>
        <w:rPr>
          <w:rFonts w:hint="eastAsia" w:ascii="黑体" w:eastAsia="黑体" w:cs="Times New Roman"/>
          <w:sz w:val="28"/>
          <w:szCs w:val="28"/>
          <w:lang w:val="en-US" w:eastAsia="zh-CN"/>
        </w:rPr>
        <w:t>4</w:t>
      </w:r>
      <w:r>
        <w:rPr>
          <w:rFonts w:hint="eastAsia" w:ascii="黑体" w:hAnsi="Calibri" w:eastAsia="黑体" w:cs="Times New Roman"/>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本年度顺利完成了县、区燃气执法考核工作，每月进行1次执法考核，全年共完成12次，故经考核，本次得分4分。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lang w:val="en-US" w:eastAsia="zh-CN"/>
        </w:rPr>
      </w:pPr>
      <w:r>
        <w:rPr>
          <w:rFonts w:hint="eastAsia" w:ascii="黑体" w:hAnsi="Calibri" w:eastAsia="黑体" w:cs="Times New Roman"/>
          <w:sz w:val="28"/>
          <w:szCs w:val="28"/>
          <w:lang w:val="en-US" w:eastAsia="zh-CN"/>
        </w:rPr>
        <w:t>2、产出质量指标情况分析</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lang w:val="en-US" w:eastAsia="zh-CN"/>
        </w:rPr>
      </w:pPr>
      <w:r>
        <w:rPr>
          <w:rFonts w:hint="eastAsia" w:ascii="黑体" w:hAnsi="Calibri" w:eastAsia="黑体" w:cs="Times New Roman"/>
          <w:sz w:val="28"/>
          <w:szCs w:val="28"/>
          <w:lang w:val="en-US" w:eastAsia="zh-CN"/>
        </w:rPr>
        <w:t>（1）考核标准合格率100%（分值</w:t>
      </w:r>
      <w:r>
        <w:rPr>
          <w:rFonts w:hint="eastAsia" w:ascii="黑体" w:eastAsia="黑体" w:cs="Times New Roman"/>
          <w:sz w:val="28"/>
          <w:szCs w:val="28"/>
          <w:lang w:val="en-US" w:eastAsia="zh-CN"/>
        </w:rPr>
        <w:t>5</w:t>
      </w:r>
      <w:r>
        <w:rPr>
          <w:rFonts w:hint="eastAsia" w:ascii="黑体" w:hAnsi="Calibri" w:eastAsia="黑体" w:cs="Times New Roman"/>
          <w:sz w:val="28"/>
          <w:szCs w:val="28"/>
          <w:lang w:val="en-US" w:eastAsia="zh-CN"/>
        </w:rPr>
        <w:t>分，得分</w:t>
      </w:r>
      <w:r>
        <w:rPr>
          <w:rFonts w:hint="eastAsia" w:ascii="黑体" w:eastAsia="黑体" w:cs="Times New Roman"/>
          <w:sz w:val="28"/>
          <w:szCs w:val="28"/>
          <w:lang w:val="en-US" w:eastAsia="zh-CN"/>
        </w:rPr>
        <w:t>5</w:t>
      </w:r>
      <w:r>
        <w:rPr>
          <w:rFonts w:hint="eastAsia" w:ascii="黑体" w:hAnsi="Calibri" w:eastAsia="黑体" w:cs="Times New Roman"/>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本年度本单位共开展了10次以上联合执法工作，每月进行1次县、区燃气执法考核，完成了既定目标，考核工作均符合标准，达到100%，故经考核，本次得分5分。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lang w:val="en-US" w:eastAsia="zh-CN"/>
        </w:rPr>
      </w:pPr>
      <w:r>
        <w:rPr>
          <w:rFonts w:hint="eastAsia" w:ascii="黑体" w:hAnsi="Calibri" w:eastAsia="黑体" w:cs="Times New Roman"/>
          <w:sz w:val="28"/>
          <w:szCs w:val="28"/>
          <w:lang w:val="en-US" w:eastAsia="zh-CN"/>
        </w:rPr>
        <w:t>（2）执法检查合格率100%（分值</w:t>
      </w:r>
      <w:r>
        <w:rPr>
          <w:rFonts w:hint="eastAsia" w:ascii="黑体" w:eastAsia="黑体" w:cs="Times New Roman"/>
          <w:sz w:val="28"/>
          <w:szCs w:val="28"/>
          <w:lang w:val="en-US" w:eastAsia="zh-CN"/>
        </w:rPr>
        <w:t>5</w:t>
      </w:r>
      <w:r>
        <w:rPr>
          <w:rFonts w:hint="eastAsia" w:ascii="黑体" w:hAnsi="Calibri" w:eastAsia="黑体" w:cs="Times New Roman"/>
          <w:sz w:val="28"/>
          <w:szCs w:val="28"/>
          <w:lang w:val="en-US" w:eastAsia="zh-CN"/>
        </w:rPr>
        <w:t>分，得分</w:t>
      </w:r>
      <w:r>
        <w:rPr>
          <w:rFonts w:hint="eastAsia" w:ascii="黑体" w:eastAsia="黑体" w:cs="Times New Roman"/>
          <w:sz w:val="28"/>
          <w:szCs w:val="28"/>
          <w:lang w:val="en-US" w:eastAsia="zh-CN"/>
        </w:rPr>
        <w:t>5</w:t>
      </w:r>
      <w:r>
        <w:rPr>
          <w:rFonts w:hint="eastAsia" w:ascii="黑体" w:hAnsi="Calibri" w:eastAsia="黑体" w:cs="Times New Roman"/>
          <w:sz w:val="28"/>
          <w:szCs w:val="28"/>
          <w:lang w:val="en-US" w:eastAsia="zh-CN"/>
        </w:rPr>
        <w:t>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 w:hAnsi="仿宋" w:eastAsia="仿宋" w:cs="仿宋_GB2312"/>
          <w:sz w:val="32"/>
          <w:szCs w:val="32"/>
        </w:rPr>
      </w:pPr>
      <w:r>
        <w:rPr>
          <w:rFonts w:hint="eastAsia" w:ascii="仿宋" w:hAnsi="仿宋" w:eastAsia="仿宋" w:cs="仿宋"/>
          <w:b w:val="0"/>
          <w:bCs w:val="0"/>
          <w:kern w:val="2"/>
          <w:sz w:val="32"/>
          <w:szCs w:val="32"/>
          <w:lang w:val="en-US" w:eastAsia="zh-CN" w:bidi="ar-SA"/>
        </w:rPr>
        <w:t>本指标年初既定目标为100%，由于开展执法检查工作均需填写各类安全检查记录表，且均按要求如实填写，故经考核，本次得分5</w:t>
      </w:r>
      <w:r>
        <w:rPr>
          <w:rFonts w:hint="eastAsia" w:ascii="仿宋" w:hAnsi="仿宋" w:eastAsia="仿宋" w:cs="仿宋"/>
          <w:kern w:val="2"/>
          <w:sz w:val="32"/>
          <w:szCs w:val="32"/>
          <w:lang w:val="en-US" w:eastAsia="zh-CN" w:bidi="ar-SA"/>
        </w:rPr>
        <w:t>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lang w:val="en-US" w:eastAsia="zh-CN"/>
        </w:rPr>
      </w:pPr>
      <w:r>
        <w:rPr>
          <w:rFonts w:hint="eastAsia" w:ascii="黑体" w:hAnsi="Calibri" w:eastAsia="黑体" w:cs="Times New Roman"/>
          <w:sz w:val="28"/>
          <w:szCs w:val="28"/>
          <w:lang w:val="en-US" w:eastAsia="zh-CN"/>
        </w:rPr>
        <w:t>3、产出时效指标情况分析</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0"/>
        <w:rPr>
          <w:rFonts w:hint="eastAsia" w:ascii="黑体" w:hAnsi="Calibri" w:eastAsia="黑体" w:cs="Times New Roman"/>
          <w:kern w:val="2"/>
          <w:sz w:val="28"/>
          <w:szCs w:val="28"/>
          <w:lang w:val="en-US" w:eastAsia="zh-CN" w:bidi="ar-SA"/>
        </w:rPr>
      </w:pPr>
      <w:r>
        <w:rPr>
          <w:rFonts w:hint="eastAsia" w:ascii="黑体" w:hAnsi="Calibri" w:eastAsia="黑体" w:cs="Times New Roman"/>
          <w:kern w:val="2"/>
          <w:sz w:val="28"/>
          <w:szCs w:val="28"/>
          <w:lang w:val="en-US" w:eastAsia="zh-CN" w:bidi="ar-SA"/>
        </w:rPr>
        <w:t>（1）燃气执法检查及时率100%（分值</w:t>
      </w:r>
      <w:r>
        <w:rPr>
          <w:rFonts w:hint="eastAsia" w:ascii="黑体" w:eastAsia="黑体" w:cs="Times New Roman"/>
          <w:kern w:val="2"/>
          <w:sz w:val="28"/>
          <w:szCs w:val="28"/>
          <w:lang w:val="en-US" w:eastAsia="zh-CN" w:bidi="ar-SA"/>
        </w:rPr>
        <w:t>5</w:t>
      </w:r>
      <w:r>
        <w:rPr>
          <w:rFonts w:hint="eastAsia" w:ascii="黑体" w:hAnsi="Calibri" w:eastAsia="黑体" w:cs="Times New Roman"/>
          <w:kern w:val="2"/>
          <w:sz w:val="28"/>
          <w:szCs w:val="28"/>
          <w:lang w:val="en-US" w:eastAsia="zh-CN" w:bidi="ar-SA"/>
        </w:rPr>
        <w:t>分，得分</w:t>
      </w:r>
      <w:r>
        <w:rPr>
          <w:rFonts w:hint="eastAsia" w:ascii="黑体" w:eastAsia="黑体" w:cs="Times New Roman"/>
          <w:kern w:val="2"/>
          <w:sz w:val="28"/>
          <w:szCs w:val="28"/>
          <w:lang w:val="en-US" w:eastAsia="zh-CN" w:bidi="ar-SA"/>
        </w:rPr>
        <w:t>5</w:t>
      </w:r>
      <w:r>
        <w:rPr>
          <w:rFonts w:hint="eastAsia" w:ascii="黑体" w:hAnsi="Calibri" w:eastAsia="黑体" w:cs="Times New Roman"/>
          <w:kern w:val="2"/>
          <w:sz w:val="28"/>
          <w:szCs w:val="28"/>
          <w:lang w:val="en-US" w:eastAsia="zh-CN" w:bidi="ar-SA"/>
        </w:rPr>
        <w:t>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本单位在规定时间内完成了燃气执法检查工作，完成了既定目标，故经考核，本次得分为5分。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0"/>
        <w:rPr>
          <w:rFonts w:hint="eastAsia" w:ascii="仿宋" w:hAnsi="仿宋" w:eastAsia="仿宋" w:cs="仿宋"/>
          <w:sz w:val="32"/>
          <w:szCs w:val="32"/>
          <w:lang w:val="en-US" w:eastAsia="zh-CN"/>
        </w:rPr>
      </w:pPr>
      <w:r>
        <w:rPr>
          <w:rFonts w:hint="eastAsia" w:ascii="黑体" w:hAnsi="Calibri" w:eastAsia="黑体" w:cs="Times New Roman"/>
          <w:kern w:val="2"/>
          <w:sz w:val="28"/>
          <w:szCs w:val="28"/>
          <w:lang w:val="en-US" w:eastAsia="zh-CN" w:bidi="ar-SA"/>
        </w:rPr>
        <w:t>（2）县区执法考核及时率100%（分值</w:t>
      </w:r>
      <w:r>
        <w:rPr>
          <w:rFonts w:hint="eastAsia" w:ascii="黑体" w:eastAsia="黑体" w:cs="Times New Roman"/>
          <w:kern w:val="2"/>
          <w:sz w:val="28"/>
          <w:szCs w:val="28"/>
          <w:lang w:val="en-US" w:eastAsia="zh-CN" w:bidi="ar-SA"/>
        </w:rPr>
        <w:t>5</w:t>
      </w:r>
      <w:r>
        <w:rPr>
          <w:rFonts w:hint="eastAsia" w:ascii="黑体" w:hAnsi="Calibri" w:eastAsia="黑体" w:cs="Times New Roman"/>
          <w:kern w:val="2"/>
          <w:sz w:val="28"/>
          <w:szCs w:val="28"/>
          <w:lang w:val="en-US" w:eastAsia="zh-CN" w:bidi="ar-SA"/>
        </w:rPr>
        <w:t>分，得分</w:t>
      </w:r>
      <w:r>
        <w:rPr>
          <w:rFonts w:hint="eastAsia" w:ascii="黑体" w:eastAsia="黑体" w:cs="Times New Roman"/>
          <w:kern w:val="2"/>
          <w:sz w:val="28"/>
          <w:szCs w:val="28"/>
          <w:lang w:val="en-US" w:eastAsia="zh-CN" w:bidi="ar-SA"/>
        </w:rPr>
        <w:t>5</w:t>
      </w:r>
      <w:r>
        <w:rPr>
          <w:rFonts w:hint="eastAsia" w:ascii="黑体" w:hAnsi="Calibri" w:eastAsia="黑体" w:cs="Times New Roman"/>
          <w:kern w:val="2"/>
          <w:sz w:val="28"/>
          <w:szCs w:val="28"/>
          <w:lang w:val="en-US" w:eastAsia="zh-CN" w:bidi="ar-SA"/>
        </w:rPr>
        <w:t>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本单位在规定时间内完成了县区执法考核工作，完成了既定目标，故经考核，本次得分5分。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lang w:val="en-US" w:eastAsia="zh-CN"/>
        </w:rPr>
      </w:pPr>
      <w:r>
        <w:rPr>
          <w:rFonts w:hint="eastAsia" w:ascii="黑体" w:hAnsi="Calibri" w:eastAsia="黑体" w:cs="Times New Roman"/>
          <w:sz w:val="28"/>
          <w:szCs w:val="28"/>
          <w:lang w:val="en-US" w:eastAsia="zh-CN"/>
        </w:rPr>
        <w:t>4、产出成本指标情况分析</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黑体" w:hAnsi="Calibri" w:eastAsia="黑体" w:cs="Times New Roman"/>
          <w:kern w:val="2"/>
          <w:sz w:val="28"/>
          <w:szCs w:val="28"/>
          <w:lang w:val="en-US" w:eastAsia="zh-CN" w:bidi="ar-SA"/>
        </w:rPr>
      </w:pPr>
      <w:r>
        <w:rPr>
          <w:rFonts w:hint="eastAsia" w:ascii="黑体" w:hAnsi="Calibri" w:eastAsia="黑体" w:cs="Times New Roman"/>
          <w:kern w:val="2"/>
          <w:sz w:val="28"/>
          <w:szCs w:val="28"/>
          <w:lang w:val="en-US" w:eastAsia="zh-CN" w:bidi="ar-SA"/>
        </w:rPr>
        <w:t>（1）</w:t>
      </w:r>
      <w:r>
        <w:rPr>
          <w:rFonts w:hint="default" w:ascii="黑体" w:hAnsi="Calibri" w:eastAsia="黑体" w:cs="Times New Roman"/>
          <w:kern w:val="2"/>
          <w:sz w:val="28"/>
          <w:szCs w:val="28"/>
          <w:lang w:val="en-US" w:eastAsia="zh-CN" w:bidi="ar-SA"/>
        </w:rPr>
        <w:t>成本控制率</w:t>
      </w:r>
      <w:r>
        <w:rPr>
          <w:rFonts w:hint="eastAsia" w:ascii="黑体" w:hAnsi="Calibri" w:eastAsia="黑体" w:cs="Times New Roman"/>
          <w:kern w:val="2"/>
          <w:sz w:val="28"/>
          <w:szCs w:val="28"/>
          <w:lang w:val="en-US" w:eastAsia="zh-CN" w:bidi="ar-SA"/>
        </w:rPr>
        <w:t>100%（分值5分，得分5分）</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由于本单位项目资金年底无结余，故燃气执法监管成本控制较好，故经考核，本次得分5分。</w:t>
      </w:r>
    </w:p>
    <w:p>
      <w:pPr>
        <w:spacing w:line="600" w:lineRule="exact"/>
        <w:ind w:firstLine="643" w:firstLineChars="200"/>
        <w:outlineLvl w:val="0"/>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（四）项目效益情况。</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lang w:val="en-US" w:eastAsia="zh-CN"/>
        </w:rPr>
      </w:pPr>
      <w:r>
        <w:rPr>
          <w:rFonts w:hint="eastAsia" w:ascii="黑体" w:hAnsi="Calibri" w:eastAsia="黑体" w:cs="Times New Roman"/>
          <w:sz w:val="28"/>
          <w:szCs w:val="28"/>
          <w:lang w:val="en-US" w:eastAsia="zh-CN"/>
        </w:rPr>
        <w:t>1、社会效益指标情况分析（分值1</w:t>
      </w:r>
      <w:r>
        <w:rPr>
          <w:rFonts w:hint="eastAsia" w:ascii="黑体" w:eastAsia="黑体" w:cs="Times New Roman"/>
          <w:sz w:val="28"/>
          <w:szCs w:val="28"/>
          <w:lang w:val="en-US" w:eastAsia="zh-CN"/>
        </w:rPr>
        <w:t>2.5</w:t>
      </w:r>
      <w:r>
        <w:rPr>
          <w:rFonts w:hint="eastAsia" w:ascii="黑体" w:hAnsi="Calibri" w:eastAsia="黑体" w:cs="Times New Roman"/>
          <w:sz w:val="28"/>
          <w:szCs w:val="28"/>
          <w:lang w:val="en-US" w:eastAsia="zh-CN"/>
        </w:rPr>
        <w:t>分，得分1</w:t>
      </w:r>
      <w:r>
        <w:rPr>
          <w:rFonts w:hint="eastAsia" w:ascii="黑体" w:eastAsia="黑体" w:cs="Times New Roman"/>
          <w:sz w:val="28"/>
          <w:szCs w:val="28"/>
          <w:lang w:val="en-US" w:eastAsia="zh-CN"/>
        </w:rPr>
        <w:t>2.5</w:t>
      </w:r>
      <w:r>
        <w:rPr>
          <w:rFonts w:hint="eastAsia" w:ascii="黑体" w:hAnsi="Calibri" w:eastAsia="黑体" w:cs="Times New Roman"/>
          <w:sz w:val="28"/>
          <w:szCs w:val="28"/>
          <w:lang w:val="en-US" w:eastAsia="zh-CN"/>
        </w:rPr>
        <w:t>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通过项目的开展，推进了燃气安全执法工作，进一步推进了燃气执法监管质量，确保我市燃气安全稳定供应，降低了燃气事故发生率，故经考核，本次得分12.5分。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lang w:val="en-US" w:eastAsia="zh-CN"/>
        </w:rPr>
      </w:pPr>
      <w:r>
        <w:rPr>
          <w:rFonts w:hint="eastAsia" w:ascii="黑体" w:hAnsi="Calibri" w:eastAsia="黑体" w:cs="Times New Roman"/>
          <w:sz w:val="28"/>
          <w:szCs w:val="28"/>
          <w:lang w:val="en-US" w:eastAsia="zh-CN"/>
        </w:rPr>
        <w:t>2、可持续影响指标情况分析（分值1</w:t>
      </w:r>
      <w:r>
        <w:rPr>
          <w:rFonts w:hint="eastAsia" w:ascii="黑体" w:eastAsia="黑体" w:cs="Times New Roman"/>
          <w:sz w:val="28"/>
          <w:szCs w:val="28"/>
          <w:lang w:val="en-US" w:eastAsia="zh-CN"/>
        </w:rPr>
        <w:t>2.5</w:t>
      </w:r>
      <w:r>
        <w:rPr>
          <w:rFonts w:hint="eastAsia" w:ascii="黑体" w:hAnsi="Calibri" w:eastAsia="黑体" w:cs="Times New Roman"/>
          <w:sz w:val="28"/>
          <w:szCs w:val="28"/>
          <w:lang w:val="en-US" w:eastAsia="zh-CN"/>
        </w:rPr>
        <w:t>分，得分1</w:t>
      </w:r>
      <w:r>
        <w:rPr>
          <w:rFonts w:hint="eastAsia" w:ascii="黑体" w:eastAsia="黑体" w:cs="Times New Roman"/>
          <w:sz w:val="28"/>
          <w:szCs w:val="28"/>
          <w:lang w:val="en-US" w:eastAsia="zh-CN"/>
        </w:rPr>
        <w:t>2.5</w:t>
      </w:r>
      <w:r>
        <w:rPr>
          <w:rFonts w:hint="eastAsia" w:ascii="黑体" w:hAnsi="Calibri" w:eastAsia="黑体" w:cs="Times New Roman"/>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通过燃气执法监管工作的开展，大大强化了燃气执法监管工作，同时健全了执法监管制度，达到了年度既定目标，故经考核，本次得分12.5分。</w:t>
      </w:r>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0"/>
        <w:rPr>
          <w:rFonts w:hint="eastAsia" w:ascii="楷体_GB2312" w:hAnsi="Calibri" w:eastAsia="楷体_GB2312" w:cs="Times New Roman"/>
          <w:b/>
          <w:color w:val="000000"/>
          <w:sz w:val="28"/>
          <w:szCs w:val="28"/>
          <w:lang w:val="en-US" w:eastAsia="zh-CN"/>
        </w:rPr>
      </w:pPr>
      <w:r>
        <w:rPr>
          <w:rFonts w:hint="eastAsia" w:ascii="楷体_GB2312" w:hAnsi="Calibri" w:eastAsia="楷体_GB2312" w:cs="Times New Roman"/>
          <w:b/>
          <w:color w:val="000000"/>
          <w:sz w:val="28"/>
          <w:szCs w:val="28"/>
          <w:lang w:val="en-US" w:eastAsia="zh-CN"/>
        </w:rPr>
        <w:t>（五）项目满意度情况</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lang w:val="en-US" w:eastAsia="zh-CN"/>
        </w:rPr>
      </w:pPr>
      <w:r>
        <w:rPr>
          <w:rFonts w:hint="eastAsia" w:ascii="黑体" w:hAnsi="Calibri" w:eastAsia="黑体" w:cs="Times New Roman"/>
          <w:sz w:val="28"/>
          <w:szCs w:val="28"/>
          <w:lang w:val="en-US" w:eastAsia="zh-CN"/>
        </w:rPr>
        <w:t>1、满意度指标情况分析（分值10分，得分</w:t>
      </w:r>
      <w:r>
        <w:rPr>
          <w:rFonts w:hint="eastAsia" w:ascii="黑体" w:eastAsia="黑体" w:cs="Times New Roman"/>
          <w:sz w:val="28"/>
          <w:szCs w:val="28"/>
          <w:lang w:val="en-US" w:eastAsia="zh-CN"/>
        </w:rPr>
        <w:t>8</w:t>
      </w:r>
      <w:r>
        <w:rPr>
          <w:rFonts w:hint="eastAsia" w:ascii="黑体" w:hAnsi="Calibri" w:eastAsia="黑体" w:cs="Times New Roman"/>
          <w:sz w:val="28"/>
          <w:szCs w:val="28"/>
          <w:lang w:val="en-US" w:eastAsia="zh-CN"/>
        </w:rPr>
        <w:t>分）</w:t>
      </w:r>
    </w:p>
    <w:p>
      <w:pPr>
        <w:spacing w:line="600" w:lineRule="exact"/>
        <w:ind w:firstLine="640" w:firstLineChars="200"/>
        <w:rPr>
          <w:rFonts w:hint="eastAsia" w:ascii="黑体" w:hAnsi="宋体" w:eastAsia="黑体" w:cs="仿宋_GB2312"/>
          <w:color w:val="000000"/>
          <w:sz w:val="32"/>
          <w:szCs w:val="32"/>
        </w:rPr>
      </w:pPr>
      <w:r>
        <w:rPr>
          <w:rFonts w:hint="eastAsia" w:ascii="仿宋" w:hAnsi="仿宋" w:eastAsia="仿宋" w:cs="仿宋"/>
          <w:sz w:val="32"/>
          <w:szCs w:val="32"/>
          <w:lang w:val="en-US" w:eastAsia="zh-CN"/>
        </w:rPr>
        <w:t>2021年在全体职工的共同努力下，通过燃气执法监管工作的开展，改善我市燃气市场，建立燃气市场长效管理机制，强加燃气行业管理，根据调查，社会群众满意率达90%，根据评分标准，此项得8分。</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五、主要经验及做法、存在的问题及原因分析</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lang w:val="en-US" w:eastAsia="zh-CN"/>
        </w:rPr>
      </w:pPr>
      <w:r>
        <w:rPr>
          <w:rFonts w:hint="eastAsia" w:ascii="黑体" w:hAnsi="Calibri" w:eastAsia="黑体" w:cs="Times New Roman"/>
          <w:sz w:val="28"/>
          <w:szCs w:val="28"/>
          <w:lang w:val="en-US" w:eastAsia="zh-CN"/>
        </w:rPr>
        <w:t>1、主要经验及做法</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坚持“先规划、再行动”，以规划任务目标统领全盘工作。在</w:t>
      </w:r>
      <w:r>
        <w:rPr>
          <w:rFonts w:hint="eastAsia" w:ascii="仿宋" w:hAnsi="仿宋" w:eastAsia="仿宋" w:cs="仿宋"/>
          <w:sz w:val="32"/>
          <w:szCs w:val="32"/>
          <w:lang w:val="en-US" w:eastAsia="zh-CN"/>
        </w:rPr>
        <w:t>燃气执法监管项目</w:t>
      </w:r>
      <w:r>
        <w:rPr>
          <w:rFonts w:hint="eastAsia" w:ascii="仿宋" w:hAnsi="仿宋" w:eastAsia="仿宋" w:cs="仿宋_GB2312"/>
          <w:sz w:val="32"/>
          <w:szCs w:val="32"/>
        </w:rPr>
        <w:t>实施工作开展之前，</w:t>
      </w:r>
      <w:r>
        <w:rPr>
          <w:rFonts w:hint="eastAsia" w:ascii="仿宋" w:hAnsi="仿宋" w:eastAsia="仿宋" w:cs="仿宋_GB2312"/>
          <w:sz w:val="32"/>
          <w:szCs w:val="32"/>
          <w:lang w:eastAsia="zh-CN"/>
        </w:rPr>
        <w:t>南昌市排水事务中心（原市燃气管理处）</w:t>
      </w:r>
      <w:r>
        <w:rPr>
          <w:rFonts w:hint="eastAsia" w:ascii="仿宋" w:hAnsi="仿宋" w:eastAsia="仿宋" w:cs="仿宋_GB2312"/>
          <w:sz w:val="32"/>
          <w:szCs w:val="32"/>
        </w:rPr>
        <w:t>就着手调查研究，从项目政策符合性、落地可行性等方面对项目进行筛选，初步确定</w:t>
      </w:r>
      <w:r>
        <w:rPr>
          <w:rFonts w:hint="eastAsia" w:ascii="仿宋" w:hAnsi="仿宋" w:eastAsia="仿宋" w:cs="仿宋"/>
          <w:sz w:val="32"/>
          <w:szCs w:val="32"/>
          <w:lang w:val="en-US" w:eastAsia="zh-CN"/>
        </w:rPr>
        <w:t>燃气执法监管</w:t>
      </w:r>
      <w:r>
        <w:rPr>
          <w:rFonts w:hint="eastAsia" w:ascii="仿宋" w:hAnsi="仿宋" w:eastAsia="仿宋" w:cs="仿宋_GB2312"/>
          <w:sz w:val="32"/>
          <w:szCs w:val="32"/>
        </w:rPr>
        <w:t>资金项目规划实施目标。</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强化前期工作，为项目实施奠定基础。在</w:t>
      </w:r>
      <w:r>
        <w:rPr>
          <w:rFonts w:hint="eastAsia" w:ascii="仿宋" w:hAnsi="仿宋" w:eastAsia="仿宋" w:cs="仿宋"/>
          <w:sz w:val="32"/>
          <w:szCs w:val="32"/>
          <w:lang w:val="en-US" w:eastAsia="zh-CN"/>
        </w:rPr>
        <w:t>燃气执法监管</w:t>
      </w:r>
      <w:r>
        <w:rPr>
          <w:rFonts w:hint="eastAsia" w:ascii="仿宋" w:hAnsi="仿宋" w:eastAsia="仿宋" w:cs="仿宋_GB2312"/>
          <w:sz w:val="32"/>
          <w:szCs w:val="32"/>
        </w:rPr>
        <w:t>资金项目实施前期工作中，</w:t>
      </w:r>
      <w:r>
        <w:rPr>
          <w:rFonts w:hint="eastAsia" w:ascii="仿宋" w:hAnsi="仿宋" w:eastAsia="仿宋" w:cs="仿宋_GB2312"/>
          <w:sz w:val="32"/>
          <w:szCs w:val="32"/>
          <w:lang w:eastAsia="zh-CN"/>
        </w:rPr>
        <w:t>南昌市排水事务中心（原市燃气管理处）</w:t>
      </w:r>
      <w:r>
        <w:rPr>
          <w:rFonts w:hint="eastAsia" w:ascii="仿宋" w:hAnsi="仿宋" w:eastAsia="仿宋" w:cs="仿宋_GB2312"/>
          <w:sz w:val="32"/>
          <w:szCs w:val="32"/>
        </w:rPr>
        <w:t>组织专家、相关技术人员进行现场调查，再次对项目各方面指标进行判定，再次确定项目规划目标可达性。</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olor w:val="000000"/>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加强监督管理，确保项目进度和质量。</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lang w:val="en-US" w:eastAsia="zh-CN"/>
        </w:rPr>
      </w:pPr>
      <w:r>
        <w:rPr>
          <w:rFonts w:hint="eastAsia" w:ascii="黑体" w:eastAsia="黑体" w:cs="Times New Roman"/>
          <w:sz w:val="28"/>
          <w:szCs w:val="28"/>
          <w:lang w:val="en-US" w:eastAsia="zh-CN"/>
        </w:rPr>
        <w:t>2、</w:t>
      </w:r>
      <w:r>
        <w:rPr>
          <w:rFonts w:hint="eastAsia" w:ascii="黑体" w:hAnsi="Calibri" w:eastAsia="黑体" w:cs="Times New Roman"/>
          <w:sz w:val="28"/>
          <w:szCs w:val="28"/>
          <w:lang w:val="en-US" w:eastAsia="zh-CN"/>
        </w:rPr>
        <w:t>存在的问题及原因分析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该项目本年度执行较好，但在满意度不高，主要原因是在进行调查时，由于人手不足，导致问卷调查范围不广。</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六、有关建议</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
          <w:kern w:val="2"/>
          <w:sz w:val="32"/>
          <w:szCs w:val="32"/>
          <w:lang w:val="en-US" w:eastAsia="zh-CN" w:bidi="ar-SA"/>
        </w:rPr>
        <w:t>在今后满意度调查工作中，本单位将实行发放电子问卷，扩大受调查人员。</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七、其他需要说明的问题</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无。</w:t>
      </w:r>
    </w:p>
    <w:p>
      <w:pPr>
        <w:spacing w:line="600" w:lineRule="exact"/>
        <w:ind w:firstLine="640" w:firstLineChars="200"/>
        <w:rPr>
          <w:rFonts w:ascii="黑体" w:hAnsi="黑体" w:eastAsia="黑体"/>
          <w:color w:val="000000"/>
          <w:sz w:val="32"/>
          <w:szCs w:val="32"/>
        </w:rPr>
      </w:pPr>
    </w:p>
    <w:p>
      <w:pPr>
        <w:pStyle w:val="2"/>
        <w:rPr>
          <w:rFonts w:ascii="黑体" w:hAnsi="黑体" w:eastAsia="黑体"/>
          <w:color w:val="000000"/>
          <w:sz w:val="32"/>
          <w:szCs w:val="32"/>
        </w:rPr>
      </w:pPr>
    </w:p>
    <w:p>
      <w:pPr>
        <w:pStyle w:val="2"/>
        <w:rPr>
          <w:rFonts w:ascii="黑体" w:hAnsi="黑体" w:eastAsia="黑体"/>
          <w:color w:val="000000"/>
          <w:sz w:val="32"/>
          <w:szCs w:val="32"/>
        </w:rPr>
      </w:pPr>
    </w:p>
    <w:p>
      <w:pPr>
        <w:pStyle w:val="2"/>
        <w:rPr>
          <w:rFonts w:ascii="黑体" w:hAnsi="黑体" w:eastAsia="黑体"/>
          <w:color w:val="000000"/>
          <w:sz w:val="32"/>
          <w:szCs w:val="32"/>
        </w:rPr>
      </w:pPr>
    </w:p>
    <w:p>
      <w:pPr>
        <w:pStyle w:val="2"/>
        <w:jc w:val="right"/>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南昌市城市管理和综合执法局</w:t>
      </w:r>
    </w:p>
    <w:p>
      <w:pPr>
        <w:pStyle w:val="2"/>
        <w:jc w:val="right"/>
        <w:rPr>
          <w:rFonts w:hint="default" w:ascii="黑体" w:hAnsi="黑体" w:eastAsia="黑体"/>
          <w:color w:val="000000"/>
          <w:sz w:val="32"/>
          <w:szCs w:val="32"/>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17" w:right="850" w:bottom="1417" w:left="1417" w:header="851" w:footer="992" w:gutter="0"/>
          <w:cols w:space="720" w:num="1"/>
          <w:docGrid w:type="lines" w:linePitch="312" w:charSpace="0"/>
        </w:sectPr>
      </w:pPr>
      <w:r>
        <w:rPr>
          <w:rFonts w:hint="eastAsia" w:ascii="黑体" w:hAnsi="黑体" w:eastAsia="黑体"/>
          <w:color w:val="000000"/>
          <w:sz w:val="32"/>
          <w:szCs w:val="32"/>
          <w:lang w:val="en-US" w:eastAsia="zh-CN"/>
        </w:rPr>
        <w:t>2022年5月27</w:t>
      </w:r>
      <w:bookmarkStart w:id="0" w:name="_GoBack"/>
      <w:bookmarkEnd w:id="0"/>
      <w:r>
        <w:rPr>
          <w:rFonts w:hint="eastAsia" w:ascii="黑体" w:hAnsi="黑体" w:eastAsia="黑体"/>
          <w:color w:val="000000"/>
          <w:sz w:val="32"/>
          <w:szCs w:val="32"/>
          <w:lang w:val="en-US" w:eastAsia="zh-CN"/>
        </w:rPr>
        <w:t>日</w:t>
      </w:r>
    </w:p>
    <w:p>
      <w:pPr>
        <w:jc w:val="center"/>
        <w:rPr>
          <w:rFonts w:hint="eastAsia" w:ascii="方正小标宋简体" w:hAnsi="宋体" w:eastAsia="方正小标宋简体" w:cs="Arial"/>
          <w:bCs/>
          <w:color w:val="000000"/>
          <w:spacing w:val="0"/>
          <w:sz w:val="44"/>
          <w:szCs w:val="44"/>
        </w:rPr>
      </w:pPr>
      <w:r>
        <w:rPr>
          <w:rFonts w:hint="eastAsia" w:ascii="方正小标宋简体" w:hAnsi="宋体" w:eastAsia="方正小标宋简体" w:cs="Arial"/>
          <w:bCs/>
          <w:color w:val="000000"/>
          <w:spacing w:val="0"/>
          <w:sz w:val="44"/>
          <w:szCs w:val="44"/>
        </w:rPr>
        <w:t>项目支出绩效评分表</w:t>
      </w:r>
    </w:p>
    <w:tbl>
      <w:tblPr>
        <w:tblStyle w:val="7"/>
        <w:tblW w:w="10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41"/>
        <w:gridCol w:w="388"/>
        <w:gridCol w:w="812"/>
        <w:gridCol w:w="660"/>
        <w:gridCol w:w="2235"/>
        <w:gridCol w:w="675"/>
        <w:gridCol w:w="3836"/>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tblHeader/>
          <w:jc w:val="center"/>
        </w:trPr>
        <w:tc>
          <w:tcPr>
            <w:tcW w:w="1141"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一级</w:t>
            </w:r>
          </w:p>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指标</w:t>
            </w:r>
          </w:p>
        </w:tc>
        <w:tc>
          <w:tcPr>
            <w:tcW w:w="1200" w:type="dxa"/>
            <w:gridSpan w:val="2"/>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二级指标</w:t>
            </w:r>
          </w:p>
        </w:tc>
        <w:tc>
          <w:tcPr>
            <w:tcW w:w="660" w:type="dxa"/>
            <w:shd w:val="clear" w:color="auto" w:fill="auto"/>
            <w:noWrap w:val="0"/>
            <w:vAlign w:val="center"/>
          </w:tcPr>
          <w:p>
            <w:pPr>
              <w:widowControl/>
              <w:jc w:val="center"/>
              <w:rPr>
                <w:rFonts w:hint="eastAsia" w:ascii="黑体" w:hAnsi="黑体" w:eastAsia="黑体" w:cs="黑体"/>
                <w:bCs/>
                <w:color w:val="000000"/>
                <w:kern w:val="0"/>
                <w:szCs w:val="21"/>
                <w:lang w:eastAsia="zh-CN"/>
              </w:rPr>
            </w:pPr>
            <w:r>
              <w:rPr>
                <w:rFonts w:hint="eastAsia" w:ascii="黑体" w:hAnsi="黑体" w:eastAsia="黑体" w:cs="黑体"/>
                <w:bCs/>
                <w:color w:val="000000"/>
                <w:kern w:val="0"/>
                <w:szCs w:val="21"/>
                <w:lang w:eastAsia="zh-CN"/>
              </w:rPr>
              <w:t>分</w:t>
            </w:r>
          </w:p>
          <w:p>
            <w:pPr>
              <w:widowControl/>
              <w:jc w:val="center"/>
              <w:rPr>
                <w:rFonts w:hint="eastAsia" w:ascii="黑体" w:hAnsi="黑体" w:eastAsia="黑体" w:cs="黑体"/>
                <w:bCs/>
                <w:color w:val="000000"/>
                <w:kern w:val="0"/>
                <w:szCs w:val="21"/>
                <w:lang w:eastAsia="zh-CN"/>
              </w:rPr>
            </w:pPr>
            <w:r>
              <w:rPr>
                <w:rFonts w:hint="eastAsia" w:ascii="黑体" w:hAnsi="黑体" w:eastAsia="黑体" w:cs="黑体"/>
                <w:bCs/>
                <w:color w:val="000000"/>
                <w:kern w:val="0"/>
                <w:szCs w:val="21"/>
                <w:lang w:eastAsia="zh-CN"/>
              </w:rPr>
              <w:t>值</w:t>
            </w:r>
          </w:p>
        </w:tc>
        <w:tc>
          <w:tcPr>
            <w:tcW w:w="2235"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三级指标</w:t>
            </w:r>
          </w:p>
        </w:tc>
        <w:tc>
          <w:tcPr>
            <w:tcW w:w="675"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分值</w:t>
            </w:r>
          </w:p>
        </w:tc>
        <w:tc>
          <w:tcPr>
            <w:tcW w:w="3836"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评分标准</w:t>
            </w:r>
          </w:p>
        </w:tc>
        <w:tc>
          <w:tcPr>
            <w:tcW w:w="675" w:type="dxa"/>
            <w:shd w:val="clear" w:color="auto" w:fill="auto"/>
            <w:noWrap w:val="0"/>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评价</w:t>
            </w:r>
          </w:p>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1141"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决策　</w:t>
            </w:r>
          </w:p>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　</w:t>
            </w:r>
          </w:p>
          <w:p>
            <w:pPr>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15分</w:t>
            </w: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rPr>
              <w:t>　</w:t>
            </w:r>
          </w:p>
        </w:tc>
        <w:tc>
          <w:tcPr>
            <w:tcW w:w="1200" w:type="dxa"/>
            <w:gridSpan w:val="2"/>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项目立项　</w:t>
            </w:r>
          </w:p>
        </w:tc>
        <w:tc>
          <w:tcPr>
            <w:tcW w:w="66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立项依据充分性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jc w:val="left"/>
              <w:rPr>
                <w:rFonts w:hint="eastAsia" w:ascii="黑体" w:hAnsi="黑体" w:eastAsia="黑体" w:cs="黑体"/>
                <w:color w:val="000000"/>
                <w:kern w:val="0"/>
                <w:szCs w:val="21"/>
              </w:rPr>
            </w:pPr>
            <w:r>
              <w:rPr>
                <w:rFonts w:hint="eastAsia" w:ascii="黑体" w:hAnsi="黑体" w:eastAsia="黑体" w:cs="黑体"/>
                <w:color w:val="000000"/>
                <w:kern w:val="0"/>
                <w:szCs w:val="21"/>
              </w:rPr>
              <w:t>①项目立项符合国家法律法规和相关政策，得1</w:t>
            </w:r>
            <w:r>
              <w:rPr>
                <w:rFonts w:hint="eastAsia" w:ascii="黑体" w:hAnsi="黑体" w:eastAsia="黑体" w:cs="黑体"/>
                <w:color w:val="000000"/>
                <w:kern w:val="0"/>
                <w:szCs w:val="21"/>
                <w:lang w:val="en-US" w:eastAsia="zh-CN"/>
              </w:rPr>
              <w:t>.5</w:t>
            </w:r>
            <w:r>
              <w:rPr>
                <w:rFonts w:hint="eastAsia" w:ascii="黑体" w:hAnsi="黑体" w:eastAsia="黑体" w:cs="黑体"/>
                <w:color w:val="000000"/>
                <w:kern w:val="0"/>
                <w:szCs w:val="21"/>
              </w:rPr>
              <w:t>分，不符合不得分；</w:t>
            </w:r>
            <w:r>
              <w:rPr>
                <w:rFonts w:hint="eastAsia" w:ascii="黑体" w:hAnsi="黑体" w:eastAsia="黑体" w:cs="黑体"/>
                <w:color w:val="000000"/>
                <w:kern w:val="0"/>
                <w:szCs w:val="21"/>
              </w:rPr>
              <w:br w:type="textWrapping"/>
            </w:r>
            <w:r>
              <w:rPr>
                <w:rFonts w:hint="eastAsia" w:ascii="黑体" w:hAnsi="黑体" w:eastAsia="黑体" w:cs="黑体"/>
                <w:color w:val="000000"/>
                <w:kern w:val="0"/>
                <w:szCs w:val="21"/>
              </w:rPr>
              <w:t>②项目立项与部门职责范围相符，属于部门履职所需，得</w:t>
            </w:r>
            <w:r>
              <w:rPr>
                <w:rFonts w:hint="eastAsia" w:ascii="黑体" w:hAnsi="黑体" w:eastAsia="黑体" w:cs="黑体"/>
                <w:color w:val="000000"/>
                <w:kern w:val="0"/>
                <w:szCs w:val="21"/>
                <w:lang w:val="en-US" w:eastAsia="zh-CN"/>
              </w:rPr>
              <w:t>1</w:t>
            </w:r>
            <w:r>
              <w:rPr>
                <w:rFonts w:hint="eastAsia" w:ascii="黑体" w:hAnsi="黑体" w:eastAsia="黑体" w:cs="黑体"/>
                <w:color w:val="000000"/>
                <w:kern w:val="0"/>
                <w:szCs w:val="21"/>
              </w:rPr>
              <w:t>分，不符合不得分。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gridSpan w:val="2"/>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立项程序规范性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jc w:val="left"/>
              <w:rPr>
                <w:rFonts w:hint="eastAsia" w:ascii="黑体" w:hAnsi="黑体" w:eastAsia="黑体" w:cs="黑体"/>
                <w:color w:val="000000"/>
                <w:kern w:val="0"/>
                <w:szCs w:val="21"/>
              </w:rPr>
            </w:pPr>
            <w:r>
              <w:rPr>
                <w:rFonts w:hint="eastAsia" w:ascii="黑体" w:hAnsi="黑体" w:eastAsia="黑体" w:cs="黑体"/>
                <w:color w:val="000000"/>
                <w:kern w:val="0"/>
                <w:szCs w:val="21"/>
              </w:rPr>
              <w:t>①项目按照规定的程序申请设立，得1.5分，不符合不得分；</w:t>
            </w:r>
          </w:p>
          <w:p>
            <w:pPr>
              <w:widowControl/>
              <w:spacing w:line="240" w:lineRule="exact"/>
              <w:jc w:val="left"/>
              <w:rPr>
                <w:rFonts w:hint="eastAsia" w:ascii="黑体" w:hAnsi="黑体" w:eastAsia="黑体" w:cs="黑体"/>
                <w:color w:val="000000"/>
                <w:kern w:val="0"/>
                <w:szCs w:val="21"/>
              </w:rPr>
            </w:pPr>
            <w:r>
              <w:rPr>
                <w:rFonts w:hint="eastAsia" w:ascii="黑体" w:hAnsi="黑体" w:eastAsia="黑体" w:cs="黑体"/>
                <w:color w:val="000000"/>
                <w:kern w:val="0"/>
                <w:szCs w:val="21"/>
              </w:rPr>
              <w:t>②审批文件、材料符合相关要求，得1分，不符合不得分。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0"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gridSpan w:val="2"/>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绩效目标　</w:t>
            </w:r>
          </w:p>
        </w:tc>
        <w:tc>
          <w:tcPr>
            <w:tcW w:w="66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绩效目标合理性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jc w:val="left"/>
              <w:rPr>
                <w:rFonts w:hint="eastAsia" w:ascii="黑体" w:hAnsi="黑体" w:eastAsia="黑体" w:cs="黑体"/>
                <w:color w:val="000000"/>
                <w:kern w:val="0"/>
                <w:szCs w:val="21"/>
              </w:rPr>
            </w:pPr>
            <w:r>
              <w:rPr>
                <w:rFonts w:hint="eastAsia" w:ascii="黑体" w:hAnsi="黑体" w:eastAsia="黑体" w:cs="黑体"/>
                <w:color w:val="000000"/>
                <w:kern w:val="0"/>
                <w:szCs w:val="21"/>
              </w:rPr>
              <w:t>①项目有绩效目标，得1.5分，不符合不得分；</w:t>
            </w:r>
          </w:p>
          <w:p>
            <w:pPr>
              <w:widowControl/>
              <w:spacing w:line="240" w:lineRule="exact"/>
              <w:jc w:val="left"/>
              <w:rPr>
                <w:rFonts w:hint="eastAsia" w:ascii="黑体" w:hAnsi="黑体" w:eastAsia="黑体" w:cs="黑体"/>
                <w:color w:val="000000"/>
                <w:kern w:val="0"/>
                <w:szCs w:val="21"/>
              </w:rPr>
            </w:pPr>
            <w:r>
              <w:rPr>
                <w:rFonts w:hint="eastAsia" w:ascii="黑体" w:hAnsi="黑体" w:eastAsia="黑体" w:cs="黑体"/>
                <w:color w:val="000000"/>
                <w:kern w:val="0"/>
                <w:szCs w:val="21"/>
              </w:rPr>
              <w:t>②项目绩效目标与实际工作内容具有相关性，得1分，不符合不得分。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gridSpan w:val="2"/>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绩效指标明确性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rPr>
              <w:br w:type="textWrapping"/>
            </w: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①将项目绩效目标细化分解为具体的绩效指标，得1.5分，不符合不得分；</w:t>
            </w:r>
          </w:p>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②与项目目标任务数或计划数相对应，得1分，不符合不得分。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gridSpan w:val="2"/>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资金投入　</w:t>
            </w:r>
          </w:p>
        </w:tc>
        <w:tc>
          <w:tcPr>
            <w:tcW w:w="66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预算编制科学性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①预算内容与项目内容匹配，得1.5分，不符合不得分；</w:t>
            </w:r>
          </w:p>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②预算确定的项目投资额或资金量与工作任务相匹配，得1分，不符合不得分。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5"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gridSpan w:val="2"/>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资金分配合理性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①预算资金分配依据充分，得1.5分，不符合不得分；</w:t>
            </w:r>
          </w:p>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②资金分配额度合理，得1分，不符合不得分。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0" w:hRule="atLeast"/>
          <w:jc w:val="center"/>
        </w:trPr>
        <w:tc>
          <w:tcPr>
            <w:tcW w:w="1141" w:type="dxa"/>
            <w:vMerge w:val="restart"/>
            <w:shd w:val="clear" w:color="auto" w:fill="auto"/>
            <w:noWrap w:val="0"/>
            <w:vAlign w:val="center"/>
          </w:tcPr>
          <w:p>
            <w:pPr>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过程</w:t>
            </w:r>
          </w:p>
          <w:p>
            <w:pPr>
              <w:spacing w:line="240" w:lineRule="exact"/>
              <w:jc w:val="center"/>
              <w:rPr>
                <w:rFonts w:hint="eastAsia" w:ascii="黑体" w:hAnsi="黑体" w:eastAsia="黑体" w:cs="黑体"/>
                <w:color w:val="000000"/>
                <w:kern w:val="0"/>
                <w:szCs w:val="21"/>
                <w:lang w:eastAsia="zh-CN"/>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15分</w:t>
            </w:r>
            <w:r>
              <w:rPr>
                <w:rFonts w:hint="eastAsia" w:ascii="黑体" w:hAnsi="黑体" w:eastAsia="黑体" w:cs="黑体"/>
                <w:color w:val="000000"/>
                <w:kern w:val="0"/>
                <w:szCs w:val="21"/>
                <w:lang w:eastAsia="zh-CN"/>
              </w:rPr>
              <w:t>）</w:t>
            </w:r>
          </w:p>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　　</w:t>
            </w:r>
          </w:p>
        </w:tc>
        <w:tc>
          <w:tcPr>
            <w:tcW w:w="1200" w:type="dxa"/>
            <w:gridSpan w:val="2"/>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资金管理</w:t>
            </w:r>
          </w:p>
        </w:tc>
        <w:tc>
          <w:tcPr>
            <w:tcW w:w="660" w:type="dxa"/>
            <w:vMerge w:val="restart"/>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10</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资金到位率</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资金到位率=（实际到位资金/预算资金）×100%。90%-100%得2.5分；80%-89%得1分；60%-79%得0.5分；60%以下，不得分。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0"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gridSpan w:val="2"/>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预算执行率</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预算执行率=（实际支出资金/实际到位资金）×100%。90%-100%得2.5分；80%-89%得1分；60%-79%得0.5分；60%以下，不得分。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4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gridSpan w:val="2"/>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资金使用合规性</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①符合国家财经法规和财务管理制度以及有关专项资金管理办法的规定，得2.5分，不符合不得分；</w:t>
            </w:r>
          </w:p>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②资金的拨付有完整的审批程序和手续，得2.5分，不符合不得分。</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0"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gridSpan w:val="2"/>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组织实施　</w:t>
            </w:r>
          </w:p>
        </w:tc>
        <w:tc>
          <w:tcPr>
            <w:tcW w:w="660"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管理制度健全性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①已制定或具有相应的财务和业务管理制度，得1.5分，不符合不得分；</w:t>
            </w:r>
          </w:p>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②财务和业务管理制度合法、合规、完整，得1分，不符合不得分。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5"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gridSpan w:val="2"/>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制度执行有效性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遵守相关法律法规和相关管理规定，得2.5分，不完善得1分，未建立得0分。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4" w:hRule="atLeast"/>
          <w:jc w:val="center"/>
        </w:trPr>
        <w:tc>
          <w:tcPr>
            <w:tcW w:w="1141"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w:t>
            </w:r>
          </w:p>
          <w:p>
            <w:pPr>
              <w:widowControl/>
              <w:spacing w:line="240" w:lineRule="exact"/>
              <w:jc w:val="center"/>
              <w:rPr>
                <w:rFonts w:hint="eastAsia" w:ascii="黑体" w:hAnsi="黑体" w:eastAsia="黑体" w:cs="黑体"/>
                <w:color w:val="000000"/>
                <w:kern w:val="0"/>
                <w:szCs w:val="21"/>
                <w:lang w:eastAsia="zh-CN"/>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35分</w:t>
            </w:r>
            <w:r>
              <w:rPr>
                <w:rFonts w:hint="eastAsia" w:ascii="黑体" w:hAnsi="黑体" w:eastAsia="黑体" w:cs="黑体"/>
                <w:color w:val="000000"/>
                <w:kern w:val="0"/>
                <w:szCs w:val="21"/>
                <w:lang w:eastAsia="zh-CN"/>
              </w:rPr>
              <w:t>）</w:t>
            </w:r>
          </w:p>
        </w:tc>
        <w:tc>
          <w:tcPr>
            <w:tcW w:w="1200" w:type="dxa"/>
            <w:gridSpan w:val="2"/>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产出数量</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全年联合县区燃气管理部门开展执法10次</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c>
          <w:tcPr>
            <w:tcW w:w="3836" w:type="dxa"/>
            <w:shd w:val="clear" w:color="auto" w:fill="auto"/>
            <w:noWrap w:val="0"/>
            <w:vAlign w:val="center"/>
          </w:tcPr>
          <w:p>
            <w:pPr>
              <w:widowControl/>
              <w:spacing w:line="240" w:lineRule="exact"/>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全年联合县区燃气管理部门开展执法达到10次得3分，少1次，扣0.5分，扣完为止。</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4"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lang w:eastAsia="zh-CN"/>
              </w:rPr>
            </w:pPr>
          </w:p>
        </w:tc>
        <w:tc>
          <w:tcPr>
            <w:tcW w:w="1200" w:type="dxa"/>
            <w:gridSpan w:val="2"/>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全年开展管道燃气企业执法检查12次</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全年开展管道燃气企业执法检查达到12次得3分，少1次，扣0.5分，扣完为止。</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4"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lang w:eastAsia="zh-CN"/>
              </w:rPr>
            </w:pPr>
          </w:p>
        </w:tc>
        <w:tc>
          <w:tcPr>
            <w:tcW w:w="1200" w:type="dxa"/>
            <w:gridSpan w:val="2"/>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4</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考核县、区燃气执法落实情况12次</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4</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考核县、区燃气执法落实情况达到12次得4分，少1次，扣0.5分，扣完为止。</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gridSpan w:val="2"/>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产出质量</w:t>
            </w:r>
          </w:p>
        </w:tc>
        <w:tc>
          <w:tcPr>
            <w:tcW w:w="660"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考核标准合格率</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考核标准合格率达到95-100%得</w:t>
            </w:r>
            <w:r>
              <w:rPr>
                <w:rFonts w:hint="eastAsia" w:ascii="黑体" w:hAnsi="黑体" w:eastAsia="黑体" w:cs="黑体"/>
                <w:color w:val="000000"/>
                <w:kern w:val="0"/>
                <w:szCs w:val="21"/>
                <w:lang w:val="en-US" w:eastAsia="zh-CN"/>
              </w:rPr>
              <w:t>5</w:t>
            </w:r>
            <w:r>
              <w:rPr>
                <w:rFonts w:hint="eastAsia" w:ascii="黑体" w:hAnsi="黑体" w:eastAsia="黑体" w:cs="黑体"/>
                <w:color w:val="000000"/>
                <w:kern w:val="0"/>
                <w:szCs w:val="21"/>
              </w:rPr>
              <w:t>分，达到80%-94%得</w:t>
            </w:r>
            <w:r>
              <w:rPr>
                <w:rFonts w:hint="eastAsia" w:ascii="黑体" w:hAnsi="黑体" w:eastAsia="黑体" w:cs="黑体"/>
                <w:color w:val="000000"/>
                <w:kern w:val="0"/>
                <w:szCs w:val="21"/>
                <w:lang w:val="en-US" w:eastAsia="zh-CN"/>
              </w:rPr>
              <w:t>3</w:t>
            </w:r>
            <w:r>
              <w:rPr>
                <w:rFonts w:hint="eastAsia" w:ascii="黑体" w:hAnsi="黑体" w:eastAsia="黑体" w:cs="黑体"/>
                <w:color w:val="000000"/>
                <w:kern w:val="0"/>
                <w:szCs w:val="21"/>
              </w:rPr>
              <w:t>分；达到60%-79%得1分；达到60%以下，不得分。</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gridSpan w:val="2"/>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660"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执法检查合格率</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执法检查合格率达到95-100%得</w:t>
            </w:r>
            <w:r>
              <w:rPr>
                <w:rFonts w:hint="eastAsia" w:ascii="黑体" w:hAnsi="黑体" w:eastAsia="黑体" w:cs="黑体"/>
                <w:color w:val="000000"/>
                <w:kern w:val="0"/>
                <w:szCs w:val="21"/>
                <w:lang w:val="en-US" w:eastAsia="zh-CN"/>
              </w:rPr>
              <w:t>5</w:t>
            </w:r>
            <w:r>
              <w:rPr>
                <w:rFonts w:hint="eastAsia" w:ascii="黑体" w:hAnsi="黑体" w:eastAsia="黑体" w:cs="黑体"/>
                <w:color w:val="000000"/>
                <w:kern w:val="0"/>
                <w:szCs w:val="21"/>
              </w:rPr>
              <w:t>分，达到80%-94%得</w:t>
            </w:r>
            <w:r>
              <w:rPr>
                <w:rFonts w:hint="eastAsia" w:ascii="黑体" w:hAnsi="黑体" w:eastAsia="黑体" w:cs="黑体"/>
                <w:color w:val="000000"/>
                <w:kern w:val="0"/>
                <w:szCs w:val="21"/>
                <w:lang w:val="en-US" w:eastAsia="zh-CN"/>
              </w:rPr>
              <w:t>3</w:t>
            </w:r>
            <w:r>
              <w:rPr>
                <w:rFonts w:hint="eastAsia" w:ascii="黑体" w:hAnsi="黑体" w:eastAsia="黑体" w:cs="黑体"/>
                <w:color w:val="000000"/>
                <w:kern w:val="0"/>
                <w:szCs w:val="21"/>
              </w:rPr>
              <w:t>分；达到60%-79%得1分；达到60%以下，不得分。</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gridSpan w:val="2"/>
            <w:vMerge w:val="restart"/>
            <w:shd w:val="clear" w:color="auto" w:fill="auto"/>
            <w:noWrap w:val="0"/>
            <w:vAlign w:val="center"/>
          </w:tcPr>
          <w:p>
            <w:pPr>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产出时效</w:t>
            </w:r>
          </w:p>
        </w:tc>
        <w:tc>
          <w:tcPr>
            <w:tcW w:w="660" w:type="dxa"/>
            <w:shd w:val="clear" w:color="auto" w:fill="auto"/>
            <w:noWrap w:val="0"/>
            <w:vAlign w:val="center"/>
          </w:tcPr>
          <w:p>
            <w:pPr>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燃气执法检查及时率</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燃气执法检查及时率达到95-100%得</w:t>
            </w:r>
            <w:r>
              <w:rPr>
                <w:rFonts w:hint="eastAsia" w:ascii="黑体" w:hAnsi="黑体" w:eastAsia="黑体" w:cs="黑体"/>
                <w:color w:val="000000"/>
                <w:kern w:val="0"/>
                <w:szCs w:val="21"/>
                <w:lang w:val="en-US" w:eastAsia="zh-CN"/>
              </w:rPr>
              <w:t>5</w:t>
            </w:r>
            <w:r>
              <w:rPr>
                <w:rFonts w:hint="eastAsia" w:ascii="黑体" w:hAnsi="黑体" w:eastAsia="黑体" w:cs="黑体"/>
                <w:color w:val="000000"/>
                <w:kern w:val="0"/>
                <w:szCs w:val="21"/>
              </w:rPr>
              <w:t>分，达到80%-94%得</w:t>
            </w:r>
            <w:r>
              <w:rPr>
                <w:rFonts w:hint="eastAsia" w:ascii="黑体" w:hAnsi="黑体" w:eastAsia="黑体" w:cs="黑体"/>
                <w:color w:val="000000"/>
                <w:kern w:val="0"/>
                <w:szCs w:val="21"/>
                <w:lang w:val="en-US" w:eastAsia="zh-CN"/>
              </w:rPr>
              <w:t>3</w:t>
            </w:r>
            <w:r>
              <w:rPr>
                <w:rFonts w:hint="eastAsia" w:ascii="黑体" w:hAnsi="黑体" w:eastAsia="黑体" w:cs="黑体"/>
                <w:color w:val="000000"/>
                <w:kern w:val="0"/>
                <w:szCs w:val="21"/>
              </w:rPr>
              <w:t>分；达到60%-79%得</w:t>
            </w:r>
            <w:r>
              <w:rPr>
                <w:rFonts w:hint="eastAsia" w:ascii="黑体" w:hAnsi="黑体" w:eastAsia="黑体" w:cs="黑体"/>
                <w:color w:val="000000"/>
                <w:kern w:val="0"/>
                <w:szCs w:val="21"/>
                <w:lang w:val="en-US" w:eastAsia="zh-CN"/>
              </w:rPr>
              <w:t>1</w:t>
            </w:r>
            <w:r>
              <w:rPr>
                <w:rFonts w:hint="eastAsia" w:ascii="黑体" w:hAnsi="黑体" w:eastAsia="黑体" w:cs="黑体"/>
                <w:color w:val="000000"/>
                <w:kern w:val="0"/>
                <w:szCs w:val="21"/>
              </w:rPr>
              <w:t>分；达到60%以下，不得分。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5" w:hRule="atLeast"/>
          <w:jc w:val="center"/>
        </w:trPr>
        <w:tc>
          <w:tcPr>
            <w:tcW w:w="1141" w:type="dxa"/>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1200" w:type="dxa"/>
            <w:gridSpan w:val="2"/>
            <w:vMerge w:val="continue"/>
            <w:shd w:val="clear" w:color="auto" w:fill="auto"/>
            <w:noWrap w:val="0"/>
            <w:vAlign w:val="center"/>
          </w:tcPr>
          <w:p>
            <w:pPr>
              <w:spacing w:line="240" w:lineRule="exact"/>
              <w:jc w:val="center"/>
              <w:rPr>
                <w:rFonts w:hint="eastAsia" w:ascii="黑体" w:hAnsi="黑体" w:eastAsia="黑体" w:cs="黑体"/>
                <w:color w:val="000000"/>
                <w:kern w:val="0"/>
                <w:szCs w:val="21"/>
              </w:rPr>
            </w:pPr>
          </w:p>
        </w:tc>
        <w:tc>
          <w:tcPr>
            <w:tcW w:w="660" w:type="dxa"/>
            <w:shd w:val="clear" w:color="auto" w:fill="auto"/>
            <w:noWrap w:val="0"/>
            <w:vAlign w:val="center"/>
          </w:tcPr>
          <w:p>
            <w:pPr>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县区执法考核及时率</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县区执法考核及时率达到95-100%得</w:t>
            </w:r>
            <w:r>
              <w:rPr>
                <w:rFonts w:hint="eastAsia" w:ascii="黑体" w:hAnsi="黑体" w:eastAsia="黑体" w:cs="黑体"/>
                <w:color w:val="000000"/>
                <w:kern w:val="0"/>
                <w:szCs w:val="21"/>
                <w:lang w:val="en-US" w:eastAsia="zh-CN"/>
              </w:rPr>
              <w:t>5</w:t>
            </w:r>
            <w:r>
              <w:rPr>
                <w:rFonts w:hint="eastAsia" w:ascii="黑体" w:hAnsi="黑体" w:eastAsia="黑体" w:cs="黑体"/>
                <w:color w:val="000000"/>
                <w:kern w:val="0"/>
                <w:szCs w:val="21"/>
              </w:rPr>
              <w:t>分，达到80%-94%得</w:t>
            </w:r>
            <w:r>
              <w:rPr>
                <w:rFonts w:hint="eastAsia" w:ascii="黑体" w:hAnsi="黑体" w:eastAsia="黑体" w:cs="黑体"/>
                <w:color w:val="000000"/>
                <w:kern w:val="0"/>
                <w:szCs w:val="21"/>
                <w:lang w:val="en-US" w:eastAsia="zh-CN"/>
              </w:rPr>
              <w:t>3</w:t>
            </w:r>
            <w:r>
              <w:rPr>
                <w:rFonts w:hint="eastAsia" w:ascii="黑体" w:hAnsi="黑体" w:eastAsia="黑体" w:cs="黑体"/>
                <w:color w:val="000000"/>
                <w:kern w:val="0"/>
                <w:szCs w:val="21"/>
              </w:rPr>
              <w:t>分；达到60%-79%得</w:t>
            </w:r>
            <w:r>
              <w:rPr>
                <w:rFonts w:hint="eastAsia" w:ascii="黑体" w:hAnsi="黑体" w:eastAsia="黑体" w:cs="黑体"/>
                <w:color w:val="000000"/>
                <w:kern w:val="0"/>
                <w:szCs w:val="21"/>
                <w:lang w:val="en-US" w:eastAsia="zh-CN"/>
              </w:rPr>
              <w:t>1</w:t>
            </w:r>
            <w:r>
              <w:rPr>
                <w:rFonts w:hint="eastAsia" w:ascii="黑体" w:hAnsi="黑体" w:eastAsia="黑体" w:cs="黑体"/>
                <w:color w:val="000000"/>
                <w:kern w:val="0"/>
                <w:szCs w:val="21"/>
              </w:rPr>
              <w:t>分；达到60%以下，不得分。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9"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gridSpan w:val="2"/>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产出成本</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成本控制率</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成本控制率小于</w:t>
            </w:r>
            <w:r>
              <w:rPr>
                <w:rFonts w:hint="eastAsia" w:ascii="黑体" w:hAnsi="黑体" w:eastAsia="黑体" w:cs="黑体"/>
                <w:color w:val="000000"/>
                <w:kern w:val="0"/>
                <w:szCs w:val="21"/>
              </w:rPr>
              <w:t>100%得</w:t>
            </w:r>
            <w:r>
              <w:rPr>
                <w:rFonts w:hint="eastAsia" w:ascii="黑体" w:hAnsi="黑体" w:eastAsia="黑体" w:cs="黑体"/>
                <w:color w:val="000000"/>
                <w:kern w:val="0"/>
                <w:szCs w:val="21"/>
                <w:lang w:val="en-US" w:eastAsia="zh-CN"/>
              </w:rPr>
              <w:t>5</w:t>
            </w:r>
            <w:r>
              <w:rPr>
                <w:rFonts w:hint="eastAsia" w:ascii="黑体" w:hAnsi="黑体" w:eastAsia="黑体" w:cs="黑体"/>
                <w:color w:val="000000"/>
                <w:kern w:val="0"/>
                <w:szCs w:val="21"/>
              </w:rPr>
              <w:t>分，</w:t>
            </w:r>
            <w:r>
              <w:rPr>
                <w:rFonts w:hint="eastAsia" w:ascii="黑体" w:hAnsi="黑体" w:eastAsia="黑体" w:cs="黑体"/>
                <w:color w:val="000000"/>
                <w:kern w:val="0"/>
                <w:szCs w:val="21"/>
                <w:lang w:val="en-US" w:eastAsia="zh-CN"/>
              </w:rPr>
              <w:t>大于100%</w:t>
            </w:r>
            <w:r>
              <w:rPr>
                <w:rFonts w:hint="eastAsia" w:ascii="黑体" w:hAnsi="黑体" w:eastAsia="黑体" w:cs="黑体"/>
                <w:color w:val="000000"/>
                <w:kern w:val="0"/>
                <w:szCs w:val="21"/>
              </w:rPr>
              <w:t>，不得分。</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jc w:val="center"/>
        </w:trPr>
        <w:tc>
          <w:tcPr>
            <w:tcW w:w="1141" w:type="dxa"/>
            <w:vMerge w:val="restart"/>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效益</w:t>
            </w:r>
          </w:p>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25分</w:t>
            </w: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rPr>
              <w:t>　</w:t>
            </w:r>
          </w:p>
        </w:tc>
        <w:tc>
          <w:tcPr>
            <w:tcW w:w="1200" w:type="dxa"/>
            <w:gridSpan w:val="2"/>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经济效益　</w:t>
            </w:r>
          </w:p>
        </w:tc>
        <w:tc>
          <w:tcPr>
            <w:tcW w:w="660"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0</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无</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无</w:t>
            </w:r>
          </w:p>
        </w:tc>
        <w:tc>
          <w:tcPr>
            <w:tcW w:w="3836"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无</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gridSpan w:val="2"/>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社会效益</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减少燃气事故发生率2%</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c>
          <w:tcPr>
            <w:tcW w:w="3836" w:type="dxa"/>
            <w:shd w:val="clear" w:color="auto" w:fill="auto"/>
            <w:noWrap w:val="0"/>
            <w:vAlign w:val="center"/>
          </w:tcPr>
          <w:p>
            <w:pPr>
              <w:widowControl/>
              <w:spacing w:line="240" w:lineRule="exact"/>
              <w:jc w:val="left"/>
              <w:rPr>
                <w:rFonts w:hint="eastAsia" w:ascii="黑体" w:hAnsi="黑体" w:eastAsia="黑体" w:cs="黑体"/>
                <w:color w:val="000000"/>
                <w:kern w:val="0"/>
                <w:szCs w:val="21"/>
              </w:rPr>
            </w:pPr>
            <w:r>
              <w:rPr>
                <w:rFonts w:hint="eastAsia" w:ascii="黑体" w:hAnsi="黑体" w:eastAsia="黑体" w:cs="黑体"/>
                <w:color w:val="000000"/>
                <w:kern w:val="0"/>
                <w:szCs w:val="21"/>
              </w:rPr>
              <w:t>减少燃气事故发生率达到</w:t>
            </w:r>
            <w:r>
              <w:rPr>
                <w:rFonts w:hint="eastAsia" w:ascii="黑体" w:hAnsi="黑体" w:eastAsia="黑体" w:cs="黑体"/>
                <w:color w:val="000000"/>
                <w:kern w:val="0"/>
                <w:szCs w:val="21"/>
                <w:lang w:val="en-US" w:eastAsia="zh-CN"/>
              </w:rPr>
              <w:t>高于2</w:t>
            </w:r>
            <w:r>
              <w:rPr>
                <w:rFonts w:hint="eastAsia" w:ascii="黑体" w:hAnsi="黑体" w:eastAsia="黑体" w:cs="黑体"/>
                <w:color w:val="000000"/>
                <w:kern w:val="0"/>
                <w:szCs w:val="21"/>
              </w:rPr>
              <w:t>%得</w:t>
            </w:r>
            <w:r>
              <w:rPr>
                <w:rFonts w:hint="eastAsia" w:ascii="黑体" w:hAnsi="黑体" w:eastAsia="黑体" w:cs="黑体"/>
                <w:color w:val="000000"/>
                <w:kern w:val="0"/>
                <w:szCs w:val="21"/>
                <w:lang w:val="en-US" w:eastAsia="zh-CN"/>
              </w:rPr>
              <w:t>12.5</w:t>
            </w:r>
            <w:r>
              <w:rPr>
                <w:rFonts w:hint="eastAsia" w:ascii="黑体" w:hAnsi="黑体" w:eastAsia="黑体" w:cs="黑体"/>
                <w:color w:val="000000"/>
                <w:kern w:val="0"/>
                <w:szCs w:val="21"/>
              </w:rPr>
              <w:t>分；</w:t>
            </w:r>
            <w:r>
              <w:rPr>
                <w:rFonts w:hint="eastAsia" w:ascii="黑体" w:hAnsi="黑体" w:eastAsia="黑体" w:cs="黑体"/>
                <w:color w:val="000000"/>
                <w:kern w:val="0"/>
                <w:szCs w:val="21"/>
                <w:lang w:val="en-US" w:eastAsia="zh-CN"/>
              </w:rPr>
              <w:t>低于2%</w:t>
            </w:r>
            <w:r>
              <w:rPr>
                <w:rFonts w:hint="eastAsia" w:ascii="黑体" w:hAnsi="黑体" w:eastAsia="黑体" w:cs="黑体"/>
                <w:color w:val="000000"/>
                <w:kern w:val="0"/>
                <w:szCs w:val="21"/>
              </w:rPr>
              <w:t>，不得分。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gridSpan w:val="2"/>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生态效益</w:t>
            </w:r>
          </w:p>
        </w:tc>
        <w:tc>
          <w:tcPr>
            <w:tcW w:w="660" w:type="dxa"/>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0</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无</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无</w:t>
            </w:r>
          </w:p>
        </w:tc>
        <w:tc>
          <w:tcPr>
            <w:tcW w:w="3836"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无</w:t>
            </w:r>
          </w:p>
        </w:tc>
        <w:tc>
          <w:tcPr>
            <w:tcW w:w="67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1141" w:type="dxa"/>
            <w:vMerge w:val="continue"/>
            <w:shd w:val="clear" w:color="auto" w:fill="auto"/>
            <w:noWrap w:val="0"/>
            <w:vAlign w:val="center"/>
          </w:tcPr>
          <w:p>
            <w:pPr>
              <w:widowControl/>
              <w:spacing w:line="240" w:lineRule="exact"/>
              <w:jc w:val="center"/>
              <w:rPr>
                <w:rFonts w:hint="eastAsia" w:ascii="黑体" w:hAnsi="黑体" w:eastAsia="黑体" w:cs="黑体"/>
                <w:color w:val="000000"/>
                <w:kern w:val="0"/>
                <w:szCs w:val="21"/>
              </w:rPr>
            </w:pPr>
          </w:p>
        </w:tc>
        <w:tc>
          <w:tcPr>
            <w:tcW w:w="1200" w:type="dxa"/>
            <w:gridSpan w:val="2"/>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可持续效益</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执法制度健全性</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执法制度健全性达到95%-100%得</w:t>
            </w:r>
            <w:r>
              <w:rPr>
                <w:rFonts w:hint="eastAsia" w:ascii="黑体" w:hAnsi="黑体" w:eastAsia="黑体" w:cs="黑体"/>
                <w:color w:val="000000"/>
                <w:kern w:val="0"/>
                <w:szCs w:val="21"/>
                <w:lang w:val="en-US" w:eastAsia="zh-CN"/>
              </w:rPr>
              <w:t>12.5</w:t>
            </w:r>
            <w:r>
              <w:rPr>
                <w:rFonts w:hint="eastAsia" w:ascii="黑体" w:hAnsi="黑体" w:eastAsia="黑体" w:cs="黑体"/>
                <w:color w:val="000000"/>
                <w:kern w:val="0"/>
                <w:szCs w:val="21"/>
              </w:rPr>
              <w:t>分；80%-94%得</w:t>
            </w:r>
            <w:r>
              <w:rPr>
                <w:rFonts w:hint="eastAsia" w:ascii="黑体" w:hAnsi="黑体" w:eastAsia="黑体" w:cs="黑体"/>
                <w:color w:val="000000"/>
                <w:kern w:val="0"/>
                <w:szCs w:val="21"/>
                <w:lang w:val="en-US" w:eastAsia="zh-CN"/>
              </w:rPr>
              <w:t>7.5</w:t>
            </w:r>
            <w:r>
              <w:rPr>
                <w:rFonts w:hint="eastAsia" w:ascii="黑体" w:hAnsi="黑体" w:eastAsia="黑体" w:cs="黑体"/>
                <w:color w:val="000000"/>
                <w:kern w:val="0"/>
                <w:szCs w:val="21"/>
              </w:rPr>
              <w:t>分；60%-79%得</w:t>
            </w:r>
            <w:r>
              <w:rPr>
                <w:rFonts w:hint="eastAsia" w:ascii="黑体" w:hAnsi="黑体" w:eastAsia="黑体" w:cs="黑体"/>
                <w:color w:val="000000"/>
                <w:kern w:val="0"/>
                <w:szCs w:val="21"/>
                <w:lang w:val="en-US" w:eastAsia="zh-CN"/>
              </w:rPr>
              <w:t>2.5</w:t>
            </w:r>
            <w:r>
              <w:rPr>
                <w:rFonts w:hint="eastAsia" w:ascii="黑体" w:hAnsi="黑体" w:eastAsia="黑体" w:cs="黑体"/>
                <w:color w:val="000000"/>
                <w:kern w:val="0"/>
                <w:szCs w:val="21"/>
              </w:rPr>
              <w:t>分；60%以下，不得分。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9" w:hRule="atLeast"/>
          <w:jc w:val="center"/>
        </w:trPr>
        <w:tc>
          <w:tcPr>
            <w:tcW w:w="1141"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满意度</w:t>
            </w:r>
          </w:p>
          <w:p>
            <w:pPr>
              <w:widowControl/>
              <w:spacing w:line="240" w:lineRule="exact"/>
              <w:jc w:val="center"/>
              <w:rPr>
                <w:rFonts w:hint="eastAsia" w:ascii="黑体" w:hAnsi="黑体" w:eastAsia="黑体" w:cs="黑体"/>
                <w:color w:val="000000"/>
                <w:kern w:val="0"/>
                <w:szCs w:val="21"/>
                <w:lang w:eastAsia="zh-CN"/>
              </w:rPr>
            </w:pPr>
            <w:r>
              <w:rPr>
                <w:rFonts w:hint="eastAsia" w:ascii="黑体" w:hAnsi="黑体" w:eastAsia="黑体" w:cs="黑体"/>
                <w:color w:val="000000"/>
                <w:kern w:val="0"/>
                <w:szCs w:val="21"/>
                <w:lang w:eastAsia="zh-CN"/>
              </w:rPr>
              <w:t>（</w:t>
            </w:r>
            <w:r>
              <w:rPr>
                <w:rFonts w:hint="eastAsia" w:ascii="黑体" w:hAnsi="黑体" w:eastAsia="黑体" w:cs="黑体"/>
                <w:color w:val="000000"/>
                <w:kern w:val="0"/>
                <w:szCs w:val="21"/>
                <w:lang w:val="en-US" w:eastAsia="zh-CN"/>
              </w:rPr>
              <w:t>10分</w:t>
            </w:r>
            <w:r>
              <w:rPr>
                <w:rFonts w:hint="eastAsia" w:ascii="黑体" w:hAnsi="黑体" w:eastAsia="黑体" w:cs="黑体"/>
                <w:color w:val="000000"/>
                <w:kern w:val="0"/>
                <w:szCs w:val="21"/>
                <w:lang w:eastAsia="zh-CN"/>
              </w:rPr>
              <w:t>）</w:t>
            </w:r>
          </w:p>
        </w:tc>
        <w:tc>
          <w:tcPr>
            <w:tcW w:w="1200" w:type="dxa"/>
            <w:gridSpan w:val="2"/>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社会公众或服务对象满意度</w:t>
            </w:r>
          </w:p>
        </w:tc>
        <w:tc>
          <w:tcPr>
            <w:tcW w:w="660"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10</w:t>
            </w:r>
          </w:p>
        </w:tc>
        <w:tc>
          <w:tcPr>
            <w:tcW w:w="2235" w:type="dxa"/>
            <w:shd w:val="clear" w:color="auto" w:fill="auto"/>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社会群众满意率</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10</w:t>
            </w:r>
          </w:p>
        </w:tc>
        <w:tc>
          <w:tcPr>
            <w:tcW w:w="3836" w:type="dxa"/>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对社会群众满意度调查， 95%-100%得10分；每下降5%扣</w:t>
            </w:r>
            <w:r>
              <w:rPr>
                <w:rFonts w:hint="eastAsia" w:ascii="黑体" w:hAnsi="黑体" w:eastAsia="黑体" w:cs="黑体"/>
                <w:color w:val="000000"/>
                <w:kern w:val="0"/>
                <w:szCs w:val="21"/>
                <w:lang w:val="en-US" w:eastAsia="zh-CN"/>
              </w:rPr>
              <w:t>2</w:t>
            </w:r>
            <w:r>
              <w:rPr>
                <w:rFonts w:hint="eastAsia" w:ascii="黑体" w:hAnsi="黑体" w:eastAsia="黑体" w:cs="黑体"/>
                <w:color w:val="000000"/>
                <w:kern w:val="0"/>
                <w:szCs w:val="21"/>
              </w:rPr>
              <w:t>分，经调查，满意度为</w:t>
            </w:r>
            <w:r>
              <w:rPr>
                <w:rFonts w:hint="eastAsia" w:ascii="黑体" w:hAnsi="黑体" w:eastAsia="黑体" w:cs="黑体"/>
                <w:color w:val="000000"/>
                <w:kern w:val="0"/>
                <w:szCs w:val="21"/>
                <w:lang w:val="en-US" w:eastAsia="zh-CN"/>
              </w:rPr>
              <w:t>90</w:t>
            </w:r>
            <w:r>
              <w:rPr>
                <w:rFonts w:hint="eastAsia" w:ascii="黑体" w:hAnsi="黑体" w:eastAsia="黑体" w:cs="黑体"/>
                <w:color w:val="000000"/>
                <w:kern w:val="0"/>
                <w:szCs w:val="21"/>
              </w:rPr>
              <w:t>%。</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jc w:val="center"/>
        </w:trPr>
        <w:tc>
          <w:tcPr>
            <w:tcW w:w="9747" w:type="dxa"/>
            <w:gridSpan w:val="7"/>
            <w:shd w:val="clear" w:color="auto" w:fill="auto"/>
            <w:noWrap w:val="0"/>
            <w:vAlign w:val="center"/>
          </w:tcPr>
          <w:p>
            <w:pPr>
              <w:widowControl/>
              <w:spacing w:line="240" w:lineRule="exact"/>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总分</w:t>
            </w:r>
          </w:p>
        </w:tc>
        <w:tc>
          <w:tcPr>
            <w:tcW w:w="675" w:type="dxa"/>
            <w:shd w:val="clear" w:color="auto" w:fill="auto"/>
            <w:noWrap w:val="0"/>
            <w:vAlign w:val="center"/>
          </w:tcPr>
          <w:p>
            <w:pPr>
              <w:widowControl/>
              <w:spacing w:line="240" w:lineRule="exact"/>
              <w:jc w:val="center"/>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9" w:hRule="atLeast"/>
          <w:jc w:val="center"/>
        </w:trPr>
        <w:tc>
          <w:tcPr>
            <w:tcW w:w="1529" w:type="dxa"/>
            <w:gridSpan w:val="2"/>
            <w:vMerge w:val="restart"/>
            <w:shd w:val="clear" w:color="auto" w:fill="auto"/>
            <w:noWrap w:val="0"/>
            <w:vAlign w:val="center"/>
          </w:tcPr>
          <w:p>
            <w:pPr>
              <w:widowControl/>
              <w:spacing w:line="240" w:lineRule="exact"/>
              <w:jc w:val="center"/>
              <w:rPr>
                <w:rFonts w:hint="eastAsia" w:ascii="黑体" w:hAnsi="黑体" w:eastAsia="黑体" w:cs="黑体"/>
                <w:bCs/>
                <w:color w:val="000000"/>
                <w:kern w:val="0"/>
                <w:szCs w:val="21"/>
                <w:lang w:eastAsia="zh-CN"/>
              </w:rPr>
            </w:pPr>
            <w:r>
              <w:rPr>
                <w:rFonts w:hint="eastAsia" w:ascii="黑体" w:hAnsi="黑体" w:eastAsia="黑体" w:cs="黑体"/>
                <w:bCs/>
                <w:color w:val="000000"/>
                <w:kern w:val="0"/>
                <w:szCs w:val="21"/>
                <w:lang w:eastAsia="zh-CN"/>
              </w:rPr>
              <w:t>评价等级</w:t>
            </w:r>
          </w:p>
        </w:tc>
        <w:tc>
          <w:tcPr>
            <w:tcW w:w="8893" w:type="dxa"/>
            <w:gridSpan w:val="6"/>
            <w:shd w:val="clear" w:color="auto" w:fill="auto"/>
            <w:noWrap w:val="0"/>
            <w:vAlign w:val="center"/>
          </w:tcPr>
          <w:p>
            <w:pPr>
              <w:widowControl/>
              <w:spacing w:line="240" w:lineRule="exact"/>
              <w:jc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rPr>
              <w:sym w:font="Wingdings 2" w:char="0052"/>
            </w:r>
            <w:r>
              <w:rPr>
                <w:rFonts w:hint="eastAsia" w:ascii="黑体" w:hAnsi="黑体" w:eastAsia="黑体" w:cs="黑体"/>
                <w:color w:val="000000"/>
                <w:kern w:val="0"/>
                <w:szCs w:val="21"/>
                <w:lang w:eastAsia="zh-CN"/>
              </w:rPr>
              <w:t>优</w:t>
            </w:r>
            <w:r>
              <w:rPr>
                <w:rFonts w:hint="eastAsia" w:ascii="黑体" w:hAnsi="黑体" w:eastAsia="黑体" w:cs="黑体"/>
                <w:color w:val="000000"/>
                <w:kern w:val="0"/>
                <w:szCs w:val="21"/>
                <w:lang w:val="en-US" w:eastAsia="zh-CN"/>
              </w:rPr>
              <w:t xml:space="preserve">        </w:t>
            </w:r>
            <w:r>
              <w:rPr>
                <w:rFonts w:hint="eastAsia" w:ascii="黑体" w:hAnsi="黑体" w:eastAsia="黑体" w:cs="黑体"/>
                <w:color w:val="000000"/>
                <w:kern w:val="0"/>
                <w:szCs w:val="21"/>
                <w:lang w:val="en-US" w:eastAsia="zh-CN"/>
              </w:rPr>
              <w:sym w:font="Wingdings 2" w:char="00A3"/>
            </w:r>
            <w:r>
              <w:rPr>
                <w:rFonts w:hint="eastAsia" w:ascii="黑体" w:hAnsi="黑体" w:eastAsia="黑体" w:cs="黑体"/>
                <w:color w:val="000000"/>
                <w:kern w:val="0"/>
                <w:szCs w:val="21"/>
                <w:lang w:val="en-US" w:eastAsia="zh-CN"/>
              </w:rPr>
              <w:t xml:space="preserve">良        </w:t>
            </w:r>
            <w:r>
              <w:rPr>
                <w:rFonts w:hint="eastAsia" w:ascii="黑体" w:hAnsi="黑体" w:eastAsia="黑体" w:cs="黑体"/>
                <w:color w:val="000000"/>
                <w:kern w:val="0"/>
                <w:szCs w:val="21"/>
                <w:lang w:val="en-US" w:eastAsia="zh-CN"/>
              </w:rPr>
              <w:sym w:font="Wingdings 2" w:char="00A3"/>
            </w:r>
            <w:r>
              <w:rPr>
                <w:rFonts w:hint="eastAsia" w:ascii="黑体" w:hAnsi="黑体" w:eastAsia="黑体" w:cs="黑体"/>
                <w:color w:val="000000"/>
                <w:kern w:val="0"/>
                <w:szCs w:val="21"/>
                <w:lang w:val="en-US" w:eastAsia="zh-CN"/>
              </w:rPr>
              <w:t xml:space="preserve">中         </w:t>
            </w:r>
            <w:r>
              <w:rPr>
                <w:rFonts w:hint="eastAsia" w:ascii="黑体" w:hAnsi="黑体" w:eastAsia="黑体" w:cs="黑体"/>
                <w:color w:val="000000"/>
                <w:kern w:val="0"/>
                <w:szCs w:val="21"/>
                <w:lang w:val="en-US" w:eastAsia="zh-CN"/>
              </w:rPr>
              <w:sym w:font="Wingdings 2" w:char="00A3"/>
            </w:r>
            <w:r>
              <w:rPr>
                <w:rFonts w:hint="eastAsia" w:ascii="黑体" w:hAnsi="黑体" w:eastAsia="黑体" w:cs="黑体"/>
                <w:color w:val="000000"/>
                <w:kern w:val="0"/>
                <w:szCs w:val="21"/>
                <w:lang w:val="en-US"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9" w:hRule="atLeast"/>
          <w:jc w:val="center"/>
        </w:trPr>
        <w:tc>
          <w:tcPr>
            <w:tcW w:w="1529" w:type="dxa"/>
            <w:gridSpan w:val="2"/>
            <w:vMerge w:val="continue"/>
            <w:shd w:val="clear" w:color="auto" w:fill="auto"/>
            <w:noWrap w:val="0"/>
            <w:vAlign w:val="center"/>
          </w:tcPr>
          <w:p>
            <w:pPr>
              <w:widowControl/>
              <w:spacing w:line="240" w:lineRule="exact"/>
              <w:rPr>
                <w:rFonts w:hint="eastAsia" w:ascii="黑体" w:hAnsi="黑体" w:eastAsia="黑体" w:cs="黑体"/>
              </w:rPr>
            </w:pPr>
          </w:p>
        </w:tc>
        <w:tc>
          <w:tcPr>
            <w:tcW w:w="8893" w:type="dxa"/>
            <w:gridSpan w:val="6"/>
            <w:shd w:val="clear" w:color="auto" w:fill="auto"/>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90（含）-100分为优、80（含）-90分为良、60（含）-80分为中、60分以下为差</w:t>
            </w:r>
          </w:p>
        </w:tc>
      </w:tr>
    </w:tbl>
    <w:p>
      <w:pPr>
        <w:spacing w:line="600" w:lineRule="exact"/>
      </w:pPr>
      <w:r>
        <w:rPr>
          <w:rFonts w:hint="eastAsia" w:ascii="黑体" w:hAnsi="宋体" w:eastAsia="黑体" w:cs="Arial"/>
          <w:bCs/>
          <w:color w:val="000000"/>
          <w:sz w:val="20"/>
        </w:rPr>
        <w:t>注：请参照《</w:t>
      </w:r>
      <w:r>
        <w:rPr>
          <w:rFonts w:hint="eastAsia" w:ascii="黑体" w:hAnsi="宋体" w:eastAsia="黑体" w:cs="仿宋_GB2312"/>
          <w:bCs/>
          <w:color w:val="000000"/>
          <w:kern w:val="0"/>
          <w:sz w:val="20"/>
          <w:shd w:val="clear" w:color="auto" w:fill="FFFFFF"/>
          <w:lang w:bidi="ar"/>
        </w:rPr>
        <w:t>项目支出绩效评价指标体系框架》</w:t>
      </w:r>
      <w:r>
        <w:rPr>
          <w:rFonts w:hint="eastAsia" w:ascii="黑体" w:hAnsi="宋体" w:eastAsia="黑体" w:cs="仿宋_GB2312"/>
          <w:bCs/>
          <w:color w:val="000000"/>
          <w:kern w:val="0"/>
          <w:sz w:val="20"/>
          <w:shd w:val="clear" w:color="auto" w:fill="FFFFFF"/>
          <w:lang w:eastAsia="zh-CN" w:bidi="ar"/>
        </w:rPr>
        <w:t>（财预</w:t>
      </w:r>
      <w:r>
        <w:rPr>
          <w:rFonts w:hint="eastAsia" w:ascii="黑体" w:hAnsi="宋体" w:eastAsia="黑体" w:cs="仿宋_GB2312"/>
          <w:bCs/>
          <w:color w:val="000000"/>
          <w:kern w:val="0"/>
          <w:sz w:val="20"/>
          <w:shd w:val="clear" w:color="auto" w:fill="FFFFFF"/>
          <w:lang w:bidi="ar"/>
        </w:rPr>
        <w:t>〔20</w:t>
      </w:r>
      <w:r>
        <w:rPr>
          <w:rFonts w:hint="eastAsia" w:ascii="黑体" w:hAnsi="宋体" w:eastAsia="黑体" w:cs="仿宋_GB2312"/>
          <w:bCs/>
          <w:color w:val="000000"/>
          <w:kern w:val="0"/>
          <w:sz w:val="20"/>
          <w:shd w:val="clear" w:color="auto" w:fill="FFFFFF"/>
          <w:lang w:val="en-US" w:eastAsia="zh-CN" w:bidi="ar"/>
        </w:rPr>
        <w:t>20</w:t>
      </w:r>
      <w:r>
        <w:rPr>
          <w:rFonts w:hint="eastAsia" w:ascii="黑体" w:hAnsi="宋体" w:eastAsia="黑体" w:cs="仿宋_GB2312"/>
          <w:bCs/>
          <w:color w:val="000000"/>
          <w:kern w:val="0"/>
          <w:sz w:val="20"/>
          <w:shd w:val="clear" w:color="auto" w:fill="FFFFFF"/>
          <w:lang w:bidi="ar"/>
        </w:rPr>
        <w:t>〕</w:t>
      </w:r>
      <w:r>
        <w:rPr>
          <w:rFonts w:hint="eastAsia" w:ascii="黑体" w:hAnsi="宋体" w:eastAsia="黑体" w:cs="仿宋_GB2312"/>
          <w:bCs/>
          <w:color w:val="000000"/>
          <w:kern w:val="0"/>
          <w:sz w:val="20"/>
          <w:shd w:val="clear" w:color="auto" w:fill="FFFFFF"/>
          <w:lang w:val="en-US" w:eastAsia="zh-CN" w:bidi="ar"/>
        </w:rPr>
        <w:t>10号</w:t>
      </w:r>
      <w:r>
        <w:rPr>
          <w:rFonts w:hint="eastAsia" w:ascii="黑体" w:hAnsi="宋体" w:eastAsia="黑体" w:cs="仿宋_GB2312"/>
          <w:bCs/>
          <w:color w:val="000000"/>
          <w:kern w:val="0"/>
          <w:sz w:val="20"/>
          <w:shd w:val="clear" w:color="auto" w:fill="FFFFFF"/>
          <w:lang w:eastAsia="zh-CN" w:bidi="ar"/>
        </w:rPr>
        <w:t>）设置</w:t>
      </w:r>
      <w:r>
        <w:rPr>
          <w:rFonts w:hint="eastAsia" w:ascii="黑体" w:hAnsi="宋体" w:eastAsia="黑体" w:cs="仿宋_GB2312"/>
          <w:bCs/>
          <w:color w:val="000000"/>
          <w:kern w:val="0"/>
          <w:sz w:val="20"/>
          <w:shd w:val="clear" w:color="auto" w:fill="FFFFFF"/>
          <w:lang w:bidi="ar"/>
        </w:rPr>
        <w:t>相关指标</w:t>
      </w:r>
      <w:r>
        <w:rPr>
          <w:rFonts w:hint="eastAsia" w:ascii="黑体" w:hAnsi="宋体" w:eastAsia="黑体" w:cs="仿宋_GB2312"/>
          <w:bCs/>
          <w:color w:val="000000"/>
          <w:kern w:val="0"/>
          <w:sz w:val="20"/>
          <w:shd w:val="clear" w:color="auto" w:fill="FFFFFF"/>
          <w:lang w:eastAsia="zh-CN" w:bidi="ar"/>
        </w:rPr>
        <w:t>。</w:t>
      </w:r>
    </w:p>
    <w:sectPr>
      <w:pgSz w:w="11906" w:h="16838"/>
      <w:pgMar w:top="1417" w:right="850"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1D16FD"/>
    <w:multiLevelType w:val="singleLevel"/>
    <w:tmpl w:val="741D16F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zMGMxMWY1MzhiNTkwNTgyMWZhYjgxMjg1YjE3ZDkifQ=="/>
  </w:docVars>
  <w:rsids>
    <w:rsidRoot w:val="55C4689A"/>
    <w:rsid w:val="04C34266"/>
    <w:rsid w:val="15AA6CDF"/>
    <w:rsid w:val="2C9F49AB"/>
    <w:rsid w:val="3DF24AD0"/>
    <w:rsid w:val="55C4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 Text Indent1"/>
    <w:basedOn w:val="1"/>
    <w:qFormat/>
    <w:uiPriority w:val="0"/>
    <w:pPr>
      <w:ind w:left="420" w:leftChars="200"/>
    </w:pPr>
    <w:rPr>
      <w:rFonts w:ascii="Times New Roman" w:hAnsi="Times New Roman" w:eastAsia="宋体" w:cs="Times New Roman"/>
    </w:rPr>
  </w:style>
  <w:style w:type="paragraph" w:styleId="3">
    <w:name w:val="Body Text"/>
    <w:basedOn w:val="1"/>
    <w:next w:val="4"/>
    <w:qFormat/>
    <w:uiPriority w:val="0"/>
    <w:pPr>
      <w:spacing w:after="120" w:afterLines="0" w:afterAutospacing="0"/>
    </w:pPr>
  </w:style>
  <w:style w:type="paragraph" w:styleId="4">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7911</Words>
  <Characters>8768</Characters>
  <Lines>0</Lines>
  <Paragraphs>0</Paragraphs>
  <TotalTime>0</TotalTime>
  <ScaleCrop>false</ScaleCrop>
  <LinksUpToDate>false</LinksUpToDate>
  <CharactersWithSpaces>8891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2022-03-21T02:45:00Z</dcterms:created>
  <dc:creator>初めから</dc:creator>
  <cp:lastModifiedBy>Administrator</cp:lastModifiedBy>
  <dcterms:modified xsi:type="dcterms:W3CDTF">2022-06-01T03:06:53Z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D95515D478B342688CBB6DBE01300CBD</vt:lpwstr>
  </property>
</Properties>
</file>